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F6AF5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auto"/>
          <w:sz w:val="32"/>
          <w:szCs w:val="32"/>
          <w:u w:val="none"/>
          <w:lang w:val="en-US" w:eastAsia="zh-CN"/>
        </w:rPr>
      </w:pPr>
      <w:r>
        <w:rPr>
          <w:rFonts w:hint="eastAsia" w:ascii="宋体" w:hAnsi="宋体" w:eastAsia="宋体" w:cs="宋体"/>
          <w:b/>
          <w:bCs/>
          <w:color w:val="auto"/>
          <w:sz w:val="32"/>
          <w:szCs w:val="32"/>
          <w:u w:val="none"/>
          <w:lang w:val="en-US" w:eastAsia="zh-CN"/>
        </w:rPr>
        <w:t>第三章  采购需求</w:t>
      </w:r>
    </w:p>
    <w:p w14:paraId="68FB3A3B">
      <w:pPr>
        <w:adjustRightInd w:val="0"/>
        <w:snapToGrid w:val="0"/>
        <w:spacing w:line="360" w:lineRule="auto"/>
        <w:jc w:val="left"/>
        <w:rPr>
          <w:rFonts w:hint="eastAsia" w:ascii="宋体" w:hAnsi="宋体" w:eastAsia="宋体" w:cs="宋体"/>
          <w:b/>
          <w:bCs/>
          <w:color w:val="auto"/>
          <w:sz w:val="28"/>
          <w:szCs w:val="28"/>
          <w:u w:val="none"/>
          <w:lang w:val="en-US" w:eastAsia="zh-CN"/>
        </w:rPr>
      </w:pPr>
    </w:p>
    <w:p w14:paraId="10770BB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注：</w:t>
      </w:r>
    </w:p>
    <w:p w14:paraId="4343DF3B">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left"/>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1.本章中标注“★”的条款为本项目不允许偏离的实质性条款，如投标人不满足的，将按照无效投标处理；标注“▲”的条款为本项目的重要条款，若投标人不满足的，将在详细评审中加重扣分。</w:t>
      </w:r>
    </w:p>
    <w:p w14:paraId="0A17ADA2">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left"/>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2.标注“★”、“▲”的技术条款须提供技术支持证明材料，否则视为负偏离。技术支持资料包括以下任意一种形式：</w:t>
      </w:r>
    </w:p>
    <w:p w14:paraId="01017218">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left"/>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（1）国家认可的第三方检测机构出具的检测报告；</w:t>
      </w:r>
    </w:p>
    <w:p w14:paraId="45AC6EA4">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left"/>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（2）货物制造商盖章的技术参数确认函（格式自拟）；</w:t>
      </w:r>
    </w:p>
    <w:p w14:paraId="5ADB673F">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left"/>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（3）产品彩页；</w:t>
      </w:r>
    </w:p>
    <w:p w14:paraId="4C1F0D0F">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left"/>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（4）货物制造商盖章的产品白皮书或设备说明书。</w:t>
      </w:r>
    </w:p>
    <w:p w14:paraId="2A4406CA">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left"/>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（注：1.关境内制造的货物的技术参数确认函、产品白皮书或设备说明书必须加盖制造商公章；2.关境外制造的货物的技术参数确认函、产品白皮书或设备说明书必须加盖制造商或者国内代理商公章）</w:t>
      </w:r>
    </w:p>
    <w:p w14:paraId="5EF23CED">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left"/>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3.一般参数（非▲号、★号的其他指标）应在投标文件中提供货物制造商盖章的技术参数承诺函（格式详见第六章投标文件格式要求-技术参数承诺函）。如技术参数里有做其他要求，还应按参数要求提供资料，否则视为负偏离。（注：1.关境内制造的货物的技术参数承诺函必须加盖制造商公章；2.关境外制造的货物的技术参数承诺函必须加盖制造商或者国内代理商公章）</w:t>
      </w:r>
    </w:p>
    <w:p w14:paraId="387B3BD1">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left"/>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4.标注“★”的商务条款须提供承诺函。</w:t>
      </w:r>
    </w:p>
    <w:p w14:paraId="41A934B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color w:val="auto"/>
          <w:sz w:val="28"/>
          <w:szCs w:val="28"/>
          <w:u w:val="none"/>
          <w:lang w:val="en-US" w:eastAsia="zh-CN"/>
        </w:rPr>
      </w:pPr>
    </w:p>
    <w:p w14:paraId="600710A3">
      <w:pPr>
        <w:pStyle w:val="2"/>
        <w:rPr>
          <w:rFonts w:hint="eastAsia" w:ascii="宋体" w:hAnsi="宋体" w:eastAsia="宋体" w:cs="宋体"/>
          <w:b/>
          <w:bCs/>
          <w:color w:val="auto"/>
          <w:sz w:val="28"/>
          <w:szCs w:val="28"/>
          <w:u w:val="none"/>
          <w:lang w:val="en-US" w:eastAsia="zh-CN"/>
        </w:rPr>
      </w:pPr>
    </w:p>
    <w:p w14:paraId="45446F2F">
      <w:pPr>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br w:type="page"/>
      </w:r>
    </w:p>
    <w:p w14:paraId="4D8E28A5">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一、项目概况</w:t>
      </w:r>
    </w:p>
    <w:p w14:paraId="2F21735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1.项目名称：2024年超长期特别国债“以旧换新”项目医疗设备集中采购（三十）</w:t>
      </w:r>
    </w:p>
    <w:p w14:paraId="4382F95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2.预算金额：¥2159.96万元（其中采购包1：200.00万元、采购包2：150.00万元、采购包3：780.00万元、采购包4：644.00万元、采购包5：300.00万元、采购包6：85.96万元）</w:t>
      </w:r>
    </w:p>
    <w:p w14:paraId="0F476EE8">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二、设备清单、技术参数</w:t>
      </w:r>
    </w:p>
    <w:p w14:paraId="464BD72A">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★（一）设备清单</w:t>
      </w:r>
    </w:p>
    <w:tbl>
      <w:tblPr>
        <w:tblStyle w:val="5"/>
        <w:tblW w:w="91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28"/>
        <w:gridCol w:w="3125"/>
        <w:gridCol w:w="794"/>
        <w:gridCol w:w="750"/>
        <w:gridCol w:w="1302"/>
        <w:gridCol w:w="2404"/>
      </w:tblGrid>
      <w:tr w14:paraId="1DD12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728" w:type="dxa"/>
            <w:shd w:val="clear" w:color="auto" w:fill="auto"/>
            <w:noWrap/>
            <w:vAlign w:val="center"/>
          </w:tcPr>
          <w:p w14:paraId="12806F3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包号</w:t>
            </w:r>
          </w:p>
        </w:tc>
        <w:tc>
          <w:tcPr>
            <w:tcW w:w="3125" w:type="dxa"/>
            <w:shd w:val="clear" w:color="auto" w:fill="auto"/>
            <w:noWrap/>
            <w:vAlign w:val="center"/>
          </w:tcPr>
          <w:p w14:paraId="19FE7B8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设备名称</w:t>
            </w:r>
          </w:p>
        </w:tc>
        <w:tc>
          <w:tcPr>
            <w:tcW w:w="794" w:type="dxa"/>
            <w:shd w:val="clear" w:color="auto" w:fill="auto"/>
            <w:noWrap/>
            <w:vAlign w:val="center"/>
          </w:tcPr>
          <w:p w14:paraId="0161371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单位</w:t>
            </w:r>
          </w:p>
        </w:tc>
        <w:tc>
          <w:tcPr>
            <w:tcW w:w="750" w:type="dxa"/>
            <w:shd w:val="clear" w:color="auto" w:fill="auto"/>
            <w:noWrap/>
            <w:vAlign w:val="center"/>
          </w:tcPr>
          <w:p w14:paraId="79E75D3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数量</w:t>
            </w:r>
          </w:p>
        </w:tc>
        <w:tc>
          <w:tcPr>
            <w:tcW w:w="1302" w:type="dxa"/>
            <w:shd w:val="clear" w:color="auto" w:fill="auto"/>
            <w:noWrap/>
            <w:vAlign w:val="center"/>
          </w:tcPr>
          <w:p w14:paraId="5C4DC94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是否接受进口产品投标</w:t>
            </w:r>
          </w:p>
        </w:tc>
        <w:tc>
          <w:tcPr>
            <w:tcW w:w="2404" w:type="dxa"/>
            <w:shd w:val="clear" w:color="auto" w:fill="auto"/>
            <w:noWrap/>
            <w:vAlign w:val="center"/>
          </w:tcPr>
          <w:p w14:paraId="2518599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保修期</w:t>
            </w:r>
          </w:p>
        </w:tc>
      </w:tr>
      <w:tr w14:paraId="7E8E6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728" w:type="dxa"/>
            <w:shd w:val="clear" w:color="auto" w:fill="auto"/>
            <w:noWrap/>
            <w:vAlign w:val="center"/>
          </w:tcPr>
          <w:p w14:paraId="08F7B3F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Cs w:val="0"/>
                <w:i w:val="0"/>
                <w:iCs w:val="0"/>
                <w:color w:val="auto"/>
                <w:sz w:val="24"/>
                <w:szCs w:val="24"/>
                <w:u w:val="none"/>
              </w:rPr>
            </w:pPr>
            <w:r>
              <w:rPr>
                <w:rFonts w:hint="eastAsia" w:ascii="宋体" w:hAnsi="宋体" w:eastAsia="宋体" w:cs="宋体"/>
                <w:bCs w:val="0"/>
                <w:i w:val="0"/>
                <w:iCs w:val="0"/>
                <w:color w:val="auto"/>
                <w:sz w:val="24"/>
                <w:szCs w:val="24"/>
                <w:u w:val="none"/>
              </w:rPr>
              <w:t>采购包1</w:t>
            </w:r>
          </w:p>
        </w:tc>
        <w:tc>
          <w:tcPr>
            <w:tcW w:w="3125" w:type="dxa"/>
            <w:shd w:val="clear" w:color="auto" w:fill="auto"/>
            <w:vAlign w:val="center"/>
          </w:tcPr>
          <w:p w14:paraId="11620684">
            <w:pPr>
              <w:keepNext w:val="0"/>
              <w:keepLines w:val="0"/>
              <w:widowControl/>
              <w:suppressLineNumbers w:val="0"/>
              <w:jc w:val="left"/>
              <w:textAlignment w:val="center"/>
              <w:rPr>
                <w:rFonts w:hint="eastAsia" w:ascii="宋体" w:hAnsi="宋体" w:eastAsia="宋体" w:cs="宋体"/>
                <w:bCs w:val="0"/>
                <w:color w:val="auto"/>
                <w:sz w:val="24"/>
                <w:szCs w:val="24"/>
                <w:u w:val="none"/>
              </w:rPr>
            </w:pPr>
            <w:r>
              <w:rPr>
                <w:rFonts w:hint="eastAsia" w:ascii="宋体" w:hAnsi="宋体" w:eastAsia="宋体" w:cs="宋体"/>
                <w:bCs w:val="0"/>
                <w:i w:val="0"/>
                <w:iCs w:val="0"/>
                <w:color w:val="auto"/>
                <w:kern w:val="0"/>
                <w:sz w:val="24"/>
                <w:szCs w:val="24"/>
                <w:u w:val="none"/>
                <w:lang w:val="en-US" w:eastAsia="zh-CN" w:bidi="ar"/>
              </w:rPr>
              <w:t>血透水处理设备（一）</w:t>
            </w:r>
          </w:p>
        </w:tc>
        <w:tc>
          <w:tcPr>
            <w:tcW w:w="794" w:type="dxa"/>
            <w:shd w:val="clear" w:color="auto" w:fill="auto"/>
            <w:noWrap/>
            <w:vAlign w:val="center"/>
          </w:tcPr>
          <w:p w14:paraId="689976C3">
            <w:pPr>
              <w:keepNext w:val="0"/>
              <w:keepLines w:val="0"/>
              <w:widowControl/>
              <w:suppressLineNumbers w:val="0"/>
              <w:jc w:val="center"/>
              <w:textAlignment w:val="center"/>
              <w:rPr>
                <w:rFonts w:hint="eastAsia" w:ascii="宋体" w:hAnsi="宋体" w:eastAsia="宋体" w:cs="宋体"/>
                <w:bCs w:val="0"/>
                <w:i w:val="0"/>
                <w:iCs w:val="0"/>
                <w:color w:val="auto"/>
                <w:sz w:val="24"/>
                <w:szCs w:val="24"/>
                <w:u w:val="none"/>
              </w:rPr>
            </w:pPr>
            <w:r>
              <w:rPr>
                <w:rFonts w:hint="eastAsia" w:ascii="宋体" w:hAnsi="宋体" w:eastAsia="宋体" w:cs="宋体"/>
                <w:bCs w:val="0"/>
                <w:i w:val="0"/>
                <w:iCs w:val="0"/>
                <w:color w:val="auto"/>
                <w:sz w:val="24"/>
                <w:szCs w:val="24"/>
                <w:u w:val="none"/>
              </w:rPr>
              <w:t>套</w:t>
            </w:r>
          </w:p>
        </w:tc>
        <w:tc>
          <w:tcPr>
            <w:tcW w:w="750" w:type="dxa"/>
            <w:shd w:val="clear" w:color="auto" w:fill="auto"/>
            <w:noWrap/>
            <w:vAlign w:val="center"/>
          </w:tcPr>
          <w:p w14:paraId="1D3F5437">
            <w:pPr>
              <w:keepNext w:val="0"/>
              <w:keepLines w:val="0"/>
              <w:widowControl/>
              <w:suppressLineNumbers w:val="0"/>
              <w:jc w:val="center"/>
              <w:textAlignment w:val="center"/>
              <w:rPr>
                <w:rFonts w:hint="eastAsia" w:ascii="宋体" w:hAnsi="宋体" w:eastAsia="宋体" w:cs="宋体"/>
                <w:bCs w:val="0"/>
                <w:i w:val="0"/>
                <w:iCs w:val="0"/>
                <w:color w:val="auto"/>
                <w:sz w:val="24"/>
                <w:szCs w:val="24"/>
                <w:u w:val="none"/>
              </w:rPr>
            </w:pPr>
            <w:r>
              <w:rPr>
                <w:rFonts w:hint="eastAsia" w:ascii="宋体" w:hAnsi="宋体" w:eastAsia="宋体" w:cs="宋体"/>
                <w:bCs w:val="0"/>
                <w:i w:val="0"/>
                <w:iCs w:val="0"/>
                <w:color w:val="auto"/>
                <w:kern w:val="0"/>
                <w:sz w:val="24"/>
                <w:szCs w:val="24"/>
                <w:u w:val="none"/>
                <w:lang w:val="en-US" w:eastAsia="zh-CN" w:bidi="ar"/>
              </w:rPr>
              <w:t>1</w:t>
            </w:r>
          </w:p>
        </w:tc>
        <w:tc>
          <w:tcPr>
            <w:tcW w:w="1302" w:type="dxa"/>
            <w:shd w:val="clear" w:color="auto" w:fill="auto"/>
            <w:noWrap/>
            <w:vAlign w:val="center"/>
          </w:tcPr>
          <w:p w14:paraId="1C1A2CD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Cs w:val="0"/>
                <w:i w:val="0"/>
                <w:iCs w:val="0"/>
                <w:color w:val="auto"/>
                <w:kern w:val="0"/>
                <w:sz w:val="24"/>
                <w:szCs w:val="24"/>
                <w:u w:val="none"/>
                <w:lang w:val="en-US" w:eastAsia="zh-CN" w:bidi="ar"/>
              </w:rPr>
            </w:pPr>
            <w:r>
              <w:rPr>
                <w:rFonts w:hint="eastAsia" w:ascii="宋体" w:hAnsi="宋体" w:eastAsia="宋体" w:cs="宋体"/>
                <w:bCs w:val="0"/>
                <w:i w:val="0"/>
                <w:iCs w:val="0"/>
                <w:color w:val="auto"/>
                <w:kern w:val="0"/>
                <w:sz w:val="24"/>
                <w:szCs w:val="24"/>
                <w:u w:val="none"/>
                <w:lang w:val="en-US" w:eastAsia="zh-CN" w:bidi="ar"/>
              </w:rPr>
              <w:t>不接受</w:t>
            </w:r>
          </w:p>
        </w:tc>
        <w:tc>
          <w:tcPr>
            <w:tcW w:w="2404" w:type="dxa"/>
            <w:shd w:val="clear" w:color="auto" w:fill="auto"/>
            <w:noWrap/>
            <w:vAlign w:val="center"/>
          </w:tcPr>
          <w:p w14:paraId="1AA2F03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Cs w:val="0"/>
                <w:i w:val="0"/>
                <w:iCs w:val="0"/>
                <w:color w:val="auto"/>
                <w:kern w:val="0"/>
                <w:sz w:val="24"/>
                <w:szCs w:val="24"/>
                <w:u w:val="none"/>
                <w:lang w:val="en-US" w:eastAsia="zh-CN" w:bidi="ar"/>
              </w:rPr>
            </w:pPr>
            <w:r>
              <w:rPr>
                <w:rFonts w:hint="eastAsia" w:ascii="宋体" w:hAnsi="宋体" w:eastAsia="宋体" w:cs="宋体"/>
                <w:bCs w:val="0"/>
                <w:i w:val="0"/>
                <w:iCs w:val="0"/>
                <w:color w:val="auto"/>
                <w:kern w:val="0"/>
                <w:sz w:val="24"/>
                <w:szCs w:val="24"/>
                <w:u w:val="none"/>
                <w:lang w:val="en-US" w:eastAsia="zh-CN" w:bidi="ar"/>
              </w:rPr>
              <w:t>主机≥60个月，相关配件≥60个月，由投标人负责免费维护维修。</w:t>
            </w:r>
          </w:p>
        </w:tc>
      </w:tr>
      <w:tr w14:paraId="07934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728" w:type="dxa"/>
            <w:shd w:val="clear" w:color="auto" w:fill="auto"/>
            <w:noWrap/>
            <w:vAlign w:val="center"/>
          </w:tcPr>
          <w:p w14:paraId="331CB24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Cs w:val="0"/>
                <w:i w:val="0"/>
                <w:iCs w:val="0"/>
                <w:color w:val="auto"/>
                <w:sz w:val="24"/>
                <w:szCs w:val="24"/>
                <w:u w:val="none"/>
                <w:lang w:eastAsia="zh-CN"/>
              </w:rPr>
            </w:pPr>
            <w:r>
              <w:rPr>
                <w:rFonts w:hint="eastAsia" w:ascii="宋体" w:hAnsi="宋体" w:eastAsia="宋体" w:cs="宋体"/>
                <w:bCs w:val="0"/>
                <w:i w:val="0"/>
                <w:iCs w:val="0"/>
                <w:color w:val="auto"/>
                <w:sz w:val="24"/>
                <w:szCs w:val="24"/>
                <w:u w:val="none"/>
              </w:rPr>
              <w:t>采购包</w:t>
            </w:r>
            <w:r>
              <w:rPr>
                <w:rFonts w:hint="eastAsia" w:ascii="宋体" w:hAnsi="宋体" w:eastAsia="宋体" w:cs="宋体"/>
                <w:bCs w:val="0"/>
                <w:i w:val="0"/>
                <w:iCs w:val="0"/>
                <w:color w:val="auto"/>
                <w:sz w:val="24"/>
                <w:szCs w:val="24"/>
                <w:u w:val="none"/>
                <w:lang w:val="en-US" w:eastAsia="zh-CN"/>
              </w:rPr>
              <w:t>2</w:t>
            </w:r>
          </w:p>
        </w:tc>
        <w:tc>
          <w:tcPr>
            <w:tcW w:w="3125" w:type="dxa"/>
            <w:shd w:val="clear" w:color="auto" w:fill="auto"/>
            <w:vAlign w:val="center"/>
          </w:tcPr>
          <w:p w14:paraId="64F6FE6D">
            <w:pPr>
              <w:keepNext w:val="0"/>
              <w:keepLines w:val="0"/>
              <w:widowControl/>
              <w:suppressLineNumbers w:val="0"/>
              <w:jc w:val="left"/>
              <w:textAlignment w:val="center"/>
              <w:rPr>
                <w:rFonts w:hint="eastAsia" w:ascii="宋体" w:hAnsi="宋体" w:eastAsia="宋体" w:cs="宋体"/>
                <w:bCs w:val="0"/>
                <w:i w:val="0"/>
                <w:iCs w:val="0"/>
                <w:color w:val="auto"/>
                <w:sz w:val="24"/>
                <w:szCs w:val="24"/>
                <w:u w:val="none"/>
              </w:rPr>
            </w:pPr>
            <w:r>
              <w:rPr>
                <w:rFonts w:hint="eastAsia" w:ascii="宋体" w:hAnsi="宋体" w:eastAsia="宋体" w:cs="宋体"/>
                <w:bCs w:val="0"/>
                <w:i w:val="0"/>
                <w:iCs w:val="0"/>
                <w:color w:val="auto"/>
                <w:kern w:val="0"/>
                <w:sz w:val="24"/>
                <w:szCs w:val="24"/>
                <w:u w:val="none"/>
                <w:lang w:val="en-US" w:eastAsia="zh-CN" w:bidi="ar"/>
              </w:rPr>
              <w:t>血透水处理设备（二）</w:t>
            </w:r>
          </w:p>
        </w:tc>
        <w:tc>
          <w:tcPr>
            <w:tcW w:w="794" w:type="dxa"/>
            <w:shd w:val="clear" w:color="auto" w:fill="auto"/>
            <w:noWrap/>
            <w:vAlign w:val="center"/>
          </w:tcPr>
          <w:p w14:paraId="7161E5F0">
            <w:pPr>
              <w:keepNext w:val="0"/>
              <w:keepLines w:val="0"/>
              <w:widowControl/>
              <w:suppressLineNumbers w:val="0"/>
              <w:jc w:val="center"/>
              <w:textAlignment w:val="center"/>
              <w:rPr>
                <w:rFonts w:hint="eastAsia" w:ascii="宋体" w:hAnsi="宋体" w:eastAsia="宋体" w:cs="宋体"/>
                <w:bCs w:val="0"/>
                <w:i w:val="0"/>
                <w:iCs w:val="0"/>
                <w:color w:val="auto"/>
                <w:sz w:val="24"/>
                <w:szCs w:val="24"/>
                <w:u w:val="none"/>
              </w:rPr>
            </w:pPr>
            <w:r>
              <w:rPr>
                <w:rFonts w:hint="eastAsia" w:ascii="宋体" w:hAnsi="宋体" w:eastAsia="宋体" w:cs="宋体"/>
                <w:bCs w:val="0"/>
                <w:i w:val="0"/>
                <w:iCs w:val="0"/>
                <w:color w:val="auto"/>
                <w:sz w:val="24"/>
                <w:szCs w:val="24"/>
                <w:u w:val="none"/>
              </w:rPr>
              <w:t>套</w:t>
            </w:r>
          </w:p>
        </w:tc>
        <w:tc>
          <w:tcPr>
            <w:tcW w:w="750" w:type="dxa"/>
            <w:shd w:val="clear" w:color="auto" w:fill="auto"/>
            <w:noWrap/>
            <w:vAlign w:val="center"/>
          </w:tcPr>
          <w:p w14:paraId="35EDAC3D">
            <w:pPr>
              <w:keepNext w:val="0"/>
              <w:keepLines w:val="0"/>
              <w:widowControl/>
              <w:suppressLineNumbers w:val="0"/>
              <w:jc w:val="center"/>
              <w:textAlignment w:val="center"/>
              <w:rPr>
                <w:rFonts w:hint="eastAsia" w:ascii="宋体" w:hAnsi="宋体" w:eastAsia="宋体" w:cs="宋体"/>
                <w:bCs w:val="0"/>
                <w:i w:val="0"/>
                <w:iCs w:val="0"/>
                <w:color w:val="auto"/>
                <w:sz w:val="24"/>
                <w:szCs w:val="24"/>
                <w:u w:val="none"/>
              </w:rPr>
            </w:pPr>
            <w:r>
              <w:rPr>
                <w:rFonts w:hint="eastAsia" w:ascii="宋体" w:hAnsi="宋体" w:eastAsia="宋体" w:cs="宋体"/>
                <w:bCs w:val="0"/>
                <w:i w:val="0"/>
                <w:iCs w:val="0"/>
                <w:color w:val="auto"/>
                <w:kern w:val="0"/>
                <w:sz w:val="24"/>
                <w:szCs w:val="24"/>
                <w:u w:val="none"/>
                <w:lang w:val="en-US" w:eastAsia="zh-CN" w:bidi="ar"/>
              </w:rPr>
              <w:t>1</w:t>
            </w:r>
          </w:p>
        </w:tc>
        <w:tc>
          <w:tcPr>
            <w:tcW w:w="1302" w:type="dxa"/>
            <w:shd w:val="clear" w:color="auto" w:fill="auto"/>
            <w:noWrap/>
            <w:vAlign w:val="center"/>
          </w:tcPr>
          <w:p w14:paraId="030BE6E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Cs w:val="0"/>
                <w:i w:val="0"/>
                <w:iCs w:val="0"/>
                <w:color w:val="auto"/>
                <w:kern w:val="0"/>
                <w:sz w:val="24"/>
                <w:szCs w:val="24"/>
                <w:u w:val="none"/>
                <w:lang w:val="en-US" w:eastAsia="zh-CN" w:bidi="ar"/>
              </w:rPr>
            </w:pPr>
            <w:r>
              <w:rPr>
                <w:rFonts w:hint="eastAsia" w:ascii="宋体" w:hAnsi="宋体" w:eastAsia="宋体" w:cs="宋体"/>
                <w:bCs w:val="0"/>
                <w:i w:val="0"/>
                <w:iCs w:val="0"/>
                <w:color w:val="auto"/>
                <w:kern w:val="0"/>
                <w:sz w:val="24"/>
                <w:szCs w:val="24"/>
                <w:u w:val="none"/>
                <w:lang w:val="en-US" w:eastAsia="zh-CN" w:bidi="ar"/>
              </w:rPr>
              <w:t>不接受</w:t>
            </w:r>
          </w:p>
        </w:tc>
        <w:tc>
          <w:tcPr>
            <w:tcW w:w="2404" w:type="dxa"/>
            <w:shd w:val="clear" w:color="auto" w:fill="auto"/>
            <w:noWrap/>
            <w:vAlign w:val="center"/>
          </w:tcPr>
          <w:p w14:paraId="0C09CFF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Cs w:val="0"/>
                <w:i w:val="0"/>
                <w:iCs w:val="0"/>
                <w:color w:val="auto"/>
                <w:kern w:val="0"/>
                <w:sz w:val="24"/>
                <w:szCs w:val="24"/>
                <w:u w:val="none"/>
                <w:lang w:val="en-US" w:eastAsia="zh-CN" w:bidi="ar"/>
              </w:rPr>
            </w:pPr>
            <w:r>
              <w:rPr>
                <w:rFonts w:hint="eastAsia" w:ascii="宋体" w:hAnsi="宋体" w:eastAsia="宋体" w:cs="宋体"/>
                <w:bCs w:val="0"/>
                <w:color w:val="auto"/>
                <w:sz w:val="24"/>
                <w:szCs w:val="24"/>
                <w:u w:val="none"/>
                <w:lang w:val="en-US" w:eastAsia="zh-CN"/>
              </w:rPr>
              <w:t>主机≥36个月，相关配件≥36个月，由</w:t>
            </w:r>
            <w:r>
              <w:rPr>
                <w:rFonts w:hint="eastAsia" w:ascii="宋体" w:hAnsi="宋体" w:eastAsia="宋体" w:cs="宋体"/>
                <w:bCs w:val="0"/>
                <w:i w:val="0"/>
                <w:iCs w:val="0"/>
                <w:color w:val="auto"/>
                <w:kern w:val="0"/>
                <w:sz w:val="24"/>
                <w:szCs w:val="24"/>
                <w:u w:val="none"/>
                <w:lang w:val="en-US" w:eastAsia="zh-CN" w:bidi="ar"/>
              </w:rPr>
              <w:t>投标人</w:t>
            </w:r>
            <w:r>
              <w:rPr>
                <w:rFonts w:hint="eastAsia" w:ascii="宋体" w:hAnsi="宋体" w:eastAsia="宋体" w:cs="宋体"/>
                <w:bCs w:val="0"/>
                <w:color w:val="auto"/>
                <w:sz w:val="24"/>
                <w:szCs w:val="24"/>
                <w:u w:val="none"/>
                <w:lang w:val="en-US" w:eastAsia="zh-CN"/>
              </w:rPr>
              <w:t>负责免费维护维修。</w:t>
            </w:r>
          </w:p>
        </w:tc>
      </w:tr>
      <w:tr w14:paraId="799F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728" w:type="dxa"/>
            <w:shd w:val="clear" w:color="auto" w:fill="auto"/>
            <w:noWrap/>
            <w:vAlign w:val="center"/>
          </w:tcPr>
          <w:p w14:paraId="376CA78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Cs w:val="0"/>
                <w:i w:val="0"/>
                <w:iCs w:val="0"/>
                <w:color w:val="auto"/>
                <w:kern w:val="2"/>
                <w:sz w:val="24"/>
                <w:szCs w:val="24"/>
                <w:u w:val="none"/>
                <w:lang w:val="en-US" w:eastAsia="zh-CN" w:bidi="ar-SA"/>
              </w:rPr>
            </w:pPr>
            <w:r>
              <w:rPr>
                <w:rFonts w:hint="eastAsia" w:ascii="宋体" w:hAnsi="宋体" w:eastAsia="宋体" w:cs="宋体"/>
                <w:bCs w:val="0"/>
                <w:i w:val="0"/>
                <w:iCs w:val="0"/>
                <w:color w:val="auto"/>
                <w:sz w:val="24"/>
                <w:szCs w:val="24"/>
                <w:u w:val="none"/>
              </w:rPr>
              <w:t>采购包</w:t>
            </w:r>
            <w:r>
              <w:rPr>
                <w:rFonts w:hint="eastAsia" w:ascii="宋体" w:hAnsi="宋体" w:eastAsia="宋体" w:cs="宋体"/>
                <w:bCs w:val="0"/>
                <w:i w:val="0"/>
                <w:iCs w:val="0"/>
                <w:color w:val="auto"/>
                <w:sz w:val="24"/>
                <w:szCs w:val="24"/>
                <w:u w:val="none"/>
                <w:lang w:val="en-US" w:eastAsia="zh-CN"/>
              </w:rPr>
              <w:t>3</w:t>
            </w:r>
          </w:p>
        </w:tc>
        <w:tc>
          <w:tcPr>
            <w:tcW w:w="3125" w:type="dxa"/>
            <w:shd w:val="clear" w:color="auto" w:fill="auto"/>
            <w:vAlign w:val="center"/>
          </w:tcPr>
          <w:p w14:paraId="2A38978C">
            <w:pPr>
              <w:keepNext w:val="0"/>
              <w:keepLines w:val="0"/>
              <w:widowControl/>
              <w:suppressLineNumbers w:val="0"/>
              <w:jc w:val="left"/>
              <w:textAlignment w:val="center"/>
              <w:rPr>
                <w:rFonts w:hint="eastAsia" w:ascii="宋体" w:hAnsi="宋体" w:eastAsia="宋体" w:cs="宋体"/>
                <w:bCs w:val="0"/>
                <w:i w:val="0"/>
                <w:iCs w:val="0"/>
                <w:color w:val="auto"/>
                <w:kern w:val="0"/>
                <w:sz w:val="24"/>
                <w:szCs w:val="24"/>
                <w:u w:val="none"/>
                <w:lang w:val="en-US" w:eastAsia="zh-CN" w:bidi="ar"/>
              </w:rPr>
            </w:pPr>
            <w:r>
              <w:rPr>
                <w:rFonts w:hint="eastAsia" w:ascii="宋体" w:hAnsi="宋体" w:eastAsia="宋体" w:cs="宋体"/>
                <w:bCs w:val="0"/>
                <w:i w:val="0"/>
                <w:iCs w:val="0"/>
                <w:color w:val="auto"/>
                <w:kern w:val="0"/>
                <w:sz w:val="24"/>
                <w:szCs w:val="24"/>
                <w:u w:val="none"/>
                <w:lang w:val="en-US" w:eastAsia="zh-CN" w:bidi="ar"/>
              </w:rPr>
              <w:t>血液透析机（双泵一）</w:t>
            </w:r>
          </w:p>
        </w:tc>
        <w:tc>
          <w:tcPr>
            <w:tcW w:w="794" w:type="dxa"/>
            <w:shd w:val="clear" w:color="auto" w:fill="auto"/>
            <w:noWrap/>
            <w:vAlign w:val="center"/>
          </w:tcPr>
          <w:p w14:paraId="429A09DF">
            <w:pPr>
              <w:keepNext w:val="0"/>
              <w:keepLines w:val="0"/>
              <w:widowControl/>
              <w:suppressLineNumbers w:val="0"/>
              <w:jc w:val="center"/>
              <w:textAlignment w:val="center"/>
              <w:rPr>
                <w:rFonts w:hint="eastAsia" w:ascii="宋体" w:hAnsi="宋体" w:eastAsia="宋体" w:cs="宋体"/>
                <w:bCs w:val="0"/>
                <w:i w:val="0"/>
                <w:iCs w:val="0"/>
                <w:color w:val="auto"/>
                <w:kern w:val="0"/>
                <w:sz w:val="24"/>
                <w:szCs w:val="24"/>
                <w:u w:val="none"/>
                <w:lang w:val="en-US" w:eastAsia="zh-CN" w:bidi="ar"/>
              </w:rPr>
            </w:pPr>
            <w:r>
              <w:rPr>
                <w:rFonts w:hint="eastAsia" w:ascii="宋体" w:hAnsi="宋体" w:eastAsia="宋体" w:cs="宋体"/>
                <w:bCs w:val="0"/>
                <w:i w:val="0"/>
                <w:iCs w:val="0"/>
                <w:color w:val="auto"/>
                <w:sz w:val="24"/>
                <w:szCs w:val="24"/>
                <w:u w:val="none"/>
              </w:rPr>
              <w:t>套</w:t>
            </w:r>
          </w:p>
        </w:tc>
        <w:tc>
          <w:tcPr>
            <w:tcW w:w="750" w:type="dxa"/>
            <w:shd w:val="clear" w:color="auto" w:fill="auto"/>
            <w:noWrap/>
            <w:vAlign w:val="center"/>
          </w:tcPr>
          <w:p w14:paraId="6CAD0C1E">
            <w:pPr>
              <w:keepNext w:val="0"/>
              <w:keepLines w:val="0"/>
              <w:widowControl/>
              <w:suppressLineNumbers w:val="0"/>
              <w:jc w:val="center"/>
              <w:textAlignment w:val="center"/>
              <w:rPr>
                <w:rFonts w:hint="eastAsia" w:ascii="宋体" w:hAnsi="宋体" w:eastAsia="宋体" w:cs="宋体"/>
                <w:bCs w:val="0"/>
                <w:i w:val="0"/>
                <w:iCs w:val="0"/>
                <w:color w:val="auto"/>
                <w:kern w:val="0"/>
                <w:sz w:val="24"/>
                <w:szCs w:val="24"/>
                <w:u w:val="none"/>
                <w:lang w:val="en-US" w:eastAsia="zh-CN" w:bidi="ar"/>
              </w:rPr>
            </w:pPr>
            <w:r>
              <w:rPr>
                <w:rFonts w:hint="eastAsia" w:ascii="宋体" w:hAnsi="宋体" w:eastAsia="宋体" w:cs="宋体"/>
                <w:bCs w:val="0"/>
                <w:i w:val="0"/>
                <w:iCs w:val="0"/>
                <w:color w:val="auto"/>
                <w:kern w:val="0"/>
                <w:sz w:val="24"/>
                <w:szCs w:val="24"/>
                <w:u w:val="none"/>
                <w:lang w:val="en-US" w:eastAsia="zh-CN" w:bidi="ar"/>
              </w:rPr>
              <w:t>26</w:t>
            </w:r>
          </w:p>
        </w:tc>
        <w:tc>
          <w:tcPr>
            <w:tcW w:w="1302" w:type="dxa"/>
            <w:shd w:val="clear" w:color="auto" w:fill="auto"/>
            <w:noWrap/>
            <w:vAlign w:val="center"/>
          </w:tcPr>
          <w:p w14:paraId="1EBA065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4"/>
                <w:szCs w:val="24"/>
                <w:u w:val="none"/>
                <w:lang w:val="en-US" w:eastAsia="zh-CN" w:bidi="ar-SA"/>
              </w:rPr>
            </w:pPr>
            <w:r>
              <w:rPr>
                <w:rFonts w:hint="eastAsia" w:ascii="宋体" w:hAnsi="宋体" w:eastAsia="宋体" w:cs="宋体"/>
                <w:bCs w:val="0"/>
                <w:i w:val="0"/>
                <w:iCs w:val="0"/>
                <w:color w:val="auto"/>
                <w:kern w:val="0"/>
                <w:sz w:val="24"/>
                <w:szCs w:val="24"/>
                <w:u w:val="none"/>
                <w:lang w:val="en-US" w:eastAsia="zh-CN" w:bidi="ar"/>
              </w:rPr>
              <w:t>接受</w:t>
            </w:r>
          </w:p>
        </w:tc>
        <w:tc>
          <w:tcPr>
            <w:tcW w:w="2404" w:type="dxa"/>
            <w:shd w:val="clear" w:color="auto" w:fill="auto"/>
            <w:noWrap/>
            <w:vAlign w:val="center"/>
          </w:tcPr>
          <w:p w14:paraId="1D1F052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Cs w:val="0"/>
                <w:i w:val="0"/>
                <w:iCs w:val="0"/>
                <w:color w:val="auto"/>
                <w:kern w:val="0"/>
                <w:sz w:val="24"/>
                <w:szCs w:val="24"/>
                <w:u w:val="none"/>
                <w:lang w:val="en-US" w:eastAsia="zh-CN" w:bidi="ar"/>
              </w:rPr>
            </w:pPr>
            <w:r>
              <w:rPr>
                <w:rFonts w:hint="eastAsia" w:ascii="宋体" w:hAnsi="宋体" w:eastAsia="宋体" w:cs="宋体"/>
                <w:bCs w:val="0"/>
                <w:i w:val="0"/>
                <w:iCs w:val="0"/>
                <w:color w:val="auto"/>
                <w:kern w:val="0"/>
                <w:sz w:val="24"/>
                <w:szCs w:val="24"/>
                <w:u w:val="none"/>
                <w:lang w:val="en-US" w:eastAsia="zh-CN" w:bidi="ar"/>
              </w:rPr>
              <w:t>主机≥36个月，相关配件≥36个月，由投标人负责免费维护维修。</w:t>
            </w:r>
          </w:p>
        </w:tc>
      </w:tr>
      <w:tr w14:paraId="28718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728" w:type="dxa"/>
            <w:shd w:val="clear" w:color="auto" w:fill="auto"/>
            <w:noWrap/>
            <w:vAlign w:val="center"/>
          </w:tcPr>
          <w:p w14:paraId="3F9F50D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Cs w:val="0"/>
                <w:i w:val="0"/>
                <w:iCs w:val="0"/>
                <w:color w:val="auto"/>
                <w:kern w:val="2"/>
                <w:sz w:val="24"/>
                <w:szCs w:val="24"/>
                <w:u w:val="none"/>
                <w:lang w:val="en-US" w:eastAsia="zh-CN" w:bidi="ar-SA"/>
              </w:rPr>
            </w:pPr>
            <w:r>
              <w:rPr>
                <w:rFonts w:hint="eastAsia" w:ascii="宋体" w:hAnsi="宋体" w:eastAsia="宋体" w:cs="宋体"/>
                <w:bCs w:val="0"/>
                <w:i w:val="0"/>
                <w:iCs w:val="0"/>
                <w:color w:val="auto"/>
                <w:sz w:val="24"/>
                <w:szCs w:val="24"/>
                <w:u w:val="none"/>
              </w:rPr>
              <w:t>采购包</w:t>
            </w:r>
            <w:r>
              <w:rPr>
                <w:rFonts w:hint="eastAsia" w:ascii="宋体" w:hAnsi="宋体" w:eastAsia="宋体" w:cs="宋体"/>
                <w:bCs w:val="0"/>
                <w:i w:val="0"/>
                <w:iCs w:val="0"/>
                <w:color w:val="auto"/>
                <w:sz w:val="24"/>
                <w:szCs w:val="24"/>
                <w:u w:val="none"/>
                <w:lang w:val="en-US" w:eastAsia="zh-CN"/>
              </w:rPr>
              <w:t>4</w:t>
            </w:r>
          </w:p>
        </w:tc>
        <w:tc>
          <w:tcPr>
            <w:tcW w:w="3125" w:type="dxa"/>
            <w:shd w:val="clear" w:color="auto" w:fill="auto"/>
            <w:vAlign w:val="center"/>
          </w:tcPr>
          <w:p w14:paraId="44447111">
            <w:pPr>
              <w:keepNext w:val="0"/>
              <w:keepLines w:val="0"/>
              <w:widowControl/>
              <w:suppressLineNumbers w:val="0"/>
              <w:jc w:val="left"/>
              <w:textAlignment w:val="center"/>
              <w:rPr>
                <w:rFonts w:hint="eastAsia" w:ascii="宋体" w:hAnsi="宋体" w:eastAsia="宋体" w:cs="宋体"/>
                <w:bCs w:val="0"/>
                <w:i w:val="0"/>
                <w:iCs w:val="0"/>
                <w:color w:val="auto"/>
                <w:sz w:val="24"/>
                <w:szCs w:val="24"/>
                <w:u w:val="none"/>
              </w:rPr>
            </w:pPr>
            <w:r>
              <w:rPr>
                <w:rFonts w:hint="eastAsia" w:ascii="宋体" w:hAnsi="宋体" w:eastAsia="宋体" w:cs="宋体"/>
                <w:bCs w:val="0"/>
                <w:i w:val="0"/>
                <w:iCs w:val="0"/>
                <w:color w:val="auto"/>
                <w:kern w:val="0"/>
                <w:sz w:val="24"/>
                <w:szCs w:val="24"/>
                <w:u w:val="none"/>
                <w:lang w:val="en-US" w:eastAsia="zh-CN" w:bidi="ar"/>
              </w:rPr>
              <w:t>血液透析机（双泵二）</w:t>
            </w:r>
          </w:p>
        </w:tc>
        <w:tc>
          <w:tcPr>
            <w:tcW w:w="794" w:type="dxa"/>
            <w:shd w:val="clear" w:color="auto" w:fill="auto"/>
            <w:noWrap/>
            <w:vAlign w:val="center"/>
          </w:tcPr>
          <w:p w14:paraId="631F7FED">
            <w:pPr>
              <w:keepNext w:val="0"/>
              <w:keepLines w:val="0"/>
              <w:widowControl/>
              <w:suppressLineNumbers w:val="0"/>
              <w:jc w:val="center"/>
              <w:textAlignment w:val="center"/>
              <w:rPr>
                <w:rFonts w:hint="eastAsia" w:ascii="宋体" w:hAnsi="宋体" w:eastAsia="宋体" w:cs="宋体"/>
                <w:bCs w:val="0"/>
                <w:i w:val="0"/>
                <w:iCs w:val="0"/>
                <w:color w:val="auto"/>
                <w:sz w:val="24"/>
                <w:szCs w:val="24"/>
                <w:u w:val="none"/>
              </w:rPr>
            </w:pPr>
            <w:r>
              <w:rPr>
                <w:rFonts w:hint="eastAsia" w:ascii="宋体" w:hAnsi="宋体" w:eastAsia="宋体" w:cs="宋体"/>
                <w:bCs w:val="0"/>
                <w:i w:val="0"/>
                <w:iCs w:val="0"/>
                <w:color w:val="auto"/>
                <w:sz w:val="24"/>
                <w:szCs w:val="24"/>
                <w:u w:val="none"/>
              </w:rPr>
              <w:t>套</w:t>
            </w:r>
          </w:p>
        </w:tc>
        <w:tc>
          <w:tcPr>
            <w:tcW w:w="750" w:type="dxa"/>
            <w:shd w:val="clear" w:color="auto" w:fill="auto"/>
            <w:noWrap/>
            <w:vAlign w:val="center"/>
          </w:tcPr>
          <w:p w14:paraId="4184E354">
            <w:pPr>
              <w:keepNext w:val="0"/>
              <w:keepLines w:val="0"/>
              <w:widowControl/>
              <w:suppressLineNumbers w:val="0"/>
              <w:jc w:val="center"/>
              <w:textAlignment w:val="center"/>
              <w:rPr>
                <w:rFonts w:hint="eastAsia" w:ascii="宋体" w:hAnsi="宋体" w:eastAsia="宋体" w:cs="宋体"/>
                <w:bCs w:val="0"/>
                <w:i w:val="0"/>
                <w:iCs w:val="0"/>
                <w:color w:val="auto"/>
                <w:sz w:val="24"/>
                <w:szCs w:val="24"/>
                <w:u w:val="none"/>
              </w:rPr>
            </w:pPr>
            <w:r>
              <w:rPr>
                <w:rFonts w:hint="eastAsia" w:ascii="宋体" w:hAnsi="宋体" w:eastAsia="宋体" w:cs="宋体"/>
                <w:bCs w:val="0"/>
                <w:i w:val="0"/>
                <w:iCs w:val="0"/>
                <w:color w:val="auto"/>
                <w:kern w:val="0"/>
                <w:sz w:val="24"/>
                <w:szCs w:val="24"/>
                <w:u w:val="none"/>
                <w:lang w:val="en-US" w:eastAsia="zh-CN" w:bidi="ar"/>
              </w:rPr>
              <w:t>23</w:t>
            </w:r>
          </w:p>
        </w:tc>
        <w:tc>
          <w:tcPr>
            <w:tcW w:w="1302" w:type="dxa"/>
            <w:shd w:val="clear" w:color="auto" w:fill="auto"/>
            <w:noWrap/>
            <w:vAlign w:val="center"/>
          </w:tcPr>
          <w:p w14:paraId="46EFDE4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Cs w:val="0"/>
                <w:i w:val="0"/>
                <w:iCs w:val="0"/>
                <w:color w:val="auto"/>
                <w:kern w:val="0"/>
                <w:sz w:val="24"/>
                <w:szCs w:val="24"/>
                <w:u w:val="none"/>
                <w:lang w:val="en-US" w:eastAsia="zh-CN" w:bidi="ar"/>
              </w:rPr>
            </w:pPr>
            <w:r>
              <w:rPr>
                <w:rFonts w:hint="eastAsia" w:ascii="宋体" w:hAnsi="宋体" w:eastAsia="宋体" w:cs="宋体"/>
                <w:bCs w:val="0"/>
                <w:i w:val="0"/>
                <w:iCs w:val="0"/>
                <w:color w:val="auto"/>
                <w:kern w:val="0"/>
                <w:sz w:val="24"/>
                <w:szCs w:val="24"/>
                <w:u w:val="none"/>
                <w:lang w:val="en-US" w:eastAsia="zh-CN" w:bidi="ar"/>
              </w:rPr>
              <w:t>不接受</w:t>
            </w:r>
          </w:p>
        </w:tc>
        <w:tc>
          <w:tcPr>
            <w:tcW w:w="2404" w:type="dxa"/>
            <w:shd w:val="clear" w:color="auto" w:fill="auto"/>
            <w:noWrap/>
            <w:vAlign w:val="center"/>
          </w:tcPr>
          <w:p w14:paraId="351112D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Cs w:val="0"/>
                <w:i w:val="0"/>
                <w:iCs w:val="0"/>
                <w:color w:val="auto"/>
                <w:kern w:val="0"/>
                <w:sz w:val="24"/>
                <w:szCs w:val="24"/>
                <w:u w:val="none"/>
                <w:lang w:val="en-US" w:eastAsia="zh-CN" w:bidi="ar"/>
              </w:rPr>
            </w:pPr>
            <w:r>
              <w:rPr>
                <w:rFonts w:hint="eastAsia" w:ascii="宋体" w:hAnsi="宋体" w:eastAsia="宋体" w:cs="宋体"/>
                <w:bCs w:val="0"/>
                <w:i w:val="0"/>
                <w:iCs w:val="0"/>
                <w:color w:val="auto"/>
                <w:kern w:val="0"/>
                <w:sz w:val="24"/>
                <w:szCs w:val="24"/>
                <w:u w:val="none"/>
                <w:lang w:val="en-US" w:eastAsia="zh-CN" w:bidi="ar"/>
              </w:rPr>
              <w:t>主机≥36个月，相关配件≥60个月，由投标人负责免费维护维修。</w:t>
            </w:r>
          </w:p>
        </w:tc>
      </w:tr>
      <w:tr w14:paraId="0DFC1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728" w:type="dxa"/>
            <w:shd w:val="clear" w:color="auto" w:fill="auto"/>
            <w:noWrap/>
            <w:vAlign w:val="center"/>
          </w:tcPr>
          <w:p w14:paraId="7AD92D1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Cs w:val="0"/>
                <w:i w:val="0"/>
                <w:iCs w:val="0"/>
                <w:color w:val="auto"/>
                <w:kern w:val="2"/>
                <w:sz w:val="24"/>
                <w:szCs w:val="24"/>
                <w:u w:val="none"/>
                <w:lang w:val="en-US" w:eastAsia="zh-CN" w:bidi="ar-SA"/>
              </w:rPr>
            </w:pPr>
            <w:r>
              <w:rPr>
                <w:rFonts w:hint="eastAsia" w:ascii="宋体" w:hAnsi="宋体" w:eastAsia="宋体" w:cs="宋体"/>
                <w:bCs w:val="0"/>
                <w:i w:val="0"/>
                <w:iCs w:val="0"/>
                <w:color w:val="auto"/>
                <w:sz w:val="24"/>
                <w:szCs w:val="24"/>
                <w:u w:val="none"/>
              </w:rPr>
              <w:t>采购包</w:t>
            </w:r>
            <w:r>
              <w:rPr>
                <w:rFonts w:hint="eastAsia" w:ascii="宋体" w:hAnsi="宋体" w:eastAsia="宋体" w:cs="宋体"/>
                <w:bCs w:val="0"/>
                <w:i w:val="0"/>
                <w:iCs w:val="0"/>
                <w:color w:val="auto"/>
                <w:sz w:val="24"/>
                <w:szCs w:val="24"/>
                <w:u w:val="none"/>
                <w:lang w:val="en-US" w:eastAsia="zh-CN"/>
              </w:rPr>
              <w:t>5</w:t>
            </w:r>
          </w:p>
        </w:tc>
        <w:tc>
          <w:tcPr>
            <w:tcW w:w="3125" w:type="dxa"/>
            <w:shd w:val="clear" w:color="auto" w:fill="auto"/>
            <w:vAlign w:val="center"/>
          </w:tcPr>
          <w:p w14:paraId="7F6A5EFF">
            <w:pPr>
              <w:keepNext w:val="0"/>
              <w:keepLines w:val="0"/>
              <w:widowControl/>
              <w:suppressLineNumbers w:val="0"/>
              <w:jc w:val="left"/>
              <w:textAlignment w:val="center"/>
              <w:rPr>
                <w:rFonts w:hint="eastAsia" w:ascii="宋体" w:hAnsi="宋体" w:eastAsia="宋体" w:cs="宋体"/>
                <w:bCs w:val="0"/>
                <w:i w:val="0"/>
                <w:iCs w:val="0"/>
                <w:color w:val="auto"/>
                <w:sz w:val="24"/>
                <w:szCs w:val="24"/>
                <w:u w:val="none"/>
              </w:rPr>
            </w:pPr>
            <w:r>
              <w:rPr>
                <w:rFonts w:hint="eastAsia" w:ascii="宋体" w:hAnsi="宋体" w:eastAsia="宋体" w:cs="宋体"/>
                <w:bCs w:val="0"/>
                <w:i w:val="0"/>
                <w:iCs w:val="0"/>
                <w:color w:val="auto"/>
                <w:kern w:val="0"/>
                <w:sz w:val="24"/>
                <w:szCs w:val="24"/>
                <w:u w:val="none"/>
                <w:lang w:val="en-US" w:eastAsia="zh-CN" w:bidi="ar"/>
              </w:rPr>
              <w:t>透析机(单泵)</w:t>
            </w:r>
          </w:p>
        </w:tc>
        <w:tc>
          <w:tcPr>
            <w:tcW w:w="794" w:type="dxa"/>
            <w:shd w:val="clear" w:color="auto" w:fill="auto"/>
            <w:noWrap/>
            <w:vAlign w:val="center"/>
          </w:tcPr>
          <w:p w14:paraId="5B7CA93C">
            <w:pPr>
              <w:keepNext w:val="0"/>
              <w:keepLines w:val="0"/>
              <w:widowControl/>
              <w:suppressLineNumbers w:val="0"/>
              <w:jc w:val="center"/>
              <w:textAlignment w:val="center"/>
              <w:rPr>
                <w:rFonts w:hint="eastAsia" w:ascii="宋体" w:hAnsi="宋体" w:eastAsia="宋体" w:cs="宋体"/>
                <w:bCs w:val="0"/>
                <w:i w:val="0"/>
                <w:iCs w:val="0"/>
                <w:color w:val="auto"/>
                <w:sz w:val="24"/>
                <w:szCs w:val="24"/>
                <w:u w:val="none"/>
              </w:rPr>
            </w:pPr>
            <w:r>
              <w:rPr>
                <w:rFonts w:hint="eastAsia" w:ascii="宋体" w:hAnsi="宋体" w:eastAsia="宋体" w:cs="宋体"/>
                <w:bCs w:val="0"/>
                <w:i w:val="0"/>
                <w:iCs w:val="0"/>
                <w:color w:val="auto"/>
                <w:sz w:val="24"/>
                <w:szCs w:val="24"/>
                <w:u w:val="none"/>
              </w:rPr>
              <w:t>套</w:t>
            </w:r>
          </w:p>
        </w:tc>
        <w:tc>
          <w:tcPr>
            <w:tcW w:w="750" w:type="dxa"/>
            <w:shd w:val="clear" w:color="auto" w:fill="auto"/>
            <w:noWrap/>
            <w:vAlign w:val="center"/>
          </w:tcPr>
          <w:p w14:paraId="78D2FB28">
            <w:pPr>
              <w:keepNext w:val="0"/>
              <w:keepLines w:val="0"/>
              <w:widowControl/>
              <w:suppressLineNumbers w:val="0"/>
              <w:jc w:val="center"/>
              <w:textAlignment w:val="center"/>
              <w:rPr>
                <w:rFonts w:hint="eastAsia" w:ascii="宋体" w:hAnsi="宋体" w:eastAsia="宋体" w:cs="宋体"/>
                <w:bCs w:val="0"/>
                <w:i w:val="0"/>
                <w:iCs w:val="0"/>
                <w:color w:val="auto"/>
                <w:sz w:val="24"/>
                <w:szCs w:val="24"/>
                <w:u w:val="none"/>
              </w:rPr>
            </w:pPr>
            <w:r>
              <w:rPr>
                <w:rFonts w:hint="eastAsia" w:ascii="宋体" w:hAnsi="宋体" w:eastAsia="宋体" w:cs="宋体"/>
                <w:bCs w:val="0"/>
                <w:i w:val="0"/>
                <w:iCs w:val="0"/>
                <w:color w:val="auto"/>
                <w:kern w:val="0"/>
                <w:sz w:val="24"/>
                <w:szCs w:val="24"/>
                <w:u w:val="none"/>
                <w:lang w:val="en-US" w:eastAsia="zh-CN" w:bidi="ar"/>
              </w:rPr>
              <w:t>15</w:t>
            </w:r>
          </w:p>
        </w:tc>
        <w:tc>
          <w:tcPr>
            <w:tcW w:w="1302" w:type="dxa"/>
            <w:shd w:val="clear" w:color="auto" w:fill="auto"/>
            <w:noWrap/>
            <w:vAlign w:val="center"/>
          </w:tcPr>
          <w:p w14:paraId="4F320D2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Cs w:val="0"/>
                <w:i w:val="0"/>
                <w:iCs w:val="0"/>
                <w:color w:val="auto"/>
                <w:kern w:val="0"/>
                <w:sz w:val="24"/>
                <w:szCs w:val="24"/>
                <w:u w:val="none"/>
                <w:lang w:val="en-US" w:eastAsia="zh-CN" w:bidi="ar"/>
              </w:rPr>
            </w:pPr>
            <w:r>
              <w:rPr>
                <w:rFonts w:hint="eastAsia" w:ascii="宋体" w:hAnsi="宋体" w:eastAsia="宋体" w:cs="宋体"/>
                <w:bCs w:val="0"/>
                <w:i w:val="0"/>
                <w:iCs w:val="0"/>
                <w:color w:val="auto"/>
                <w:kern w:val="0"/>
                <w:sz w:val="24"/>
                <w:szCs w:val="24"/>
                <w:u w:val="none"/>
                <w:lang w:val="en-US" w:eastAsia="zh-CN" w:bidi="ar"/>
              </w:rPr>
              <w:t>不接受</w:t>
            </w:r>
          </w:p>
        </w:tc>
        <w:tc>
          <w:tcPr>
            <w:tcW w:w="2404" w:type="dxa"/>
            <w:shd w:val="clear" w:color="auto" w:fill="auto"/>
            <w:noWrap/>
            <w:vAlign w:val="center"/>
          </w:tcPr>
          <w:p w14:paraId="01941F0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Cs w:val="0"/>
                <w:i w:val="0"/>
                <w:iCs w:val="0"/>
                <w:color w:val="auto"/>
                <w:kern w:val="0"/>
                <w:sz w:val="24"/>
                <w:szCs w:val="24"/>
                <w:u w:val="none"/>
                <w:lang w:val="en-US" w:eastAsia="zh-CN" w:bidi="ar"/>
              </w:rPr>
            </w:pPr>
            <w:r>
              <w:rPr>
                <w:rFonts w:hint="eastAsia" w:ascii="宋体" w:hAnsi="宋体" w:eastAsia="宋体" w:cs="宋体"/>
                <w:b w:val="0"/>
                <w:bCs w:val="0"/>
                <w:color w:val="auto"/>
                <w:sz w:val="24"/>
                <w:szCs w:val="24"/>
                <w:u w:val="none"/>
                <w:lang w:val="en-US" w:eastAsia="zh-CN"/>
              </w:rPr>
              <w:t>主机≥36个月，相关配件≥ 60 个月，由投标人负责免费维护维修。</w:t>
            </w:r>
          </w:p>
        </w:tc>
      </w:tr>
      <w:tr w14:paraId="14DBA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728" w:type="dxa"/>
            <w:shd w:val="clear" w:color="auto" w:fill="auto"/>
            <w:noWrap/>
            <w:vAlign w:val="center"/>
          </w:tcPr>
          <w:p w14:paraId="4156708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Cs w:val="0"/>
                <w:i w:val="0"/>
                <w:iCs w:val="0"/>
                <w:color w:val="auto"/>
                <w:kern w:val="2"/>
                <w:sz w:val="24"/>
                <w:szCs w:val="24"/>
                <w:u w:val="none"/>
                <w:lang w:val="en-US" w:eastAsia="zh-CN" w:bidi="ar-SA"/>
              </w:rPr>
            </w:pPr>
            <w:r>
              <w:rPr>
                <w:rFonts w:hint="eastAsia" w:ascii="宋体" w:hAnsi="宋体" w:eastAsia="宋体" w:cs="宋体"/>
                <w:bCs w:val="0"/>
                <w:i w:val="0"/>
                <w:iCs w:val="0"/>
                <w:color w:val="auto"/>
                <w:sz w:val="24"/>
                <w:szCs w:val="24"/>
                <w:u w:val="none"/>
              </w:rPr>
              <w:t>采购包</w:t>
            </w:r>
            <w:r>
              <w:rPr>
                <w:rFonts w:hint="eastAsia" w:ascii="宋体" w:hAnsi="宋体" w:eastAsia="宋体" w:cs="宋体"/>
                <w:bCs w:val="0"/>
                <w:i w:val="0"/>
                <w:iCs w:val="0"/>
                <w:color w:val="auto"/>
                <w:sz w:val="24"/>
                <w:szCs w:val="24"/>
                <w:u w:val="none"/>
                <w:lang w:val="en-US" w:eastAsia="zh-CN"/>
              </w:rPr>
              <w:t>6</w:t>
            </w:r>
            <w:bookmarkStart w:id="0" w:name="_GoBack"/>
            <w:bookmarkEnd w:id="0"/>
          </w:p>
        </w:tc>
        <w:tc>
          <w:tcPr>
            <w:tcW w:w="3125" w:type="dxa"/>
            <w:shd w:val="clear" w:color="auto" w:fill="auto"/>
            <w:vAlign w:val="center"/>
          </w:tcPr>
          <w:p w14:paraId="337C29A3">
            <w:pPr>
              <w:keepNext w:val="0"/>
              <w:keepLines w:val="0"/>
              <w:widowControl/>
              <w:suppressLineNumbers w:val="0"/>
              <w:jc w:val="left"/>
              <w:textAlignment w:val="center"/>
              <w:rPr>
                <w:rFonts w:hint="eastAsia" w:ascii="宋体" w:hAnsi="宋体" w:eastAsia="宋体" w:cs="宋体"/>
                <w:bCs w:val="0"/>
                <w:i w:val="0"/>
                <w:iCs w:val="0"/>
                <w:color w:val="auto"/>
                <w:sz w:val="24"/>
                <w:szCs w:val="24"/>
                <w:u w:val="none"/>
              </w:rPr>
            </w:pPr>
            <w:r>
              <w:rPr>
                <w:rFonts w:hint="eastAsia" w:ascii="宋体" w:hAnsi="宋体" w:eastAsia="宋体" w:cs="宋体"/>
                <w:bCs w:val="0"/>
                <w:i w:val="0"/>
                <w:iCs w:val="0"/>
                <w:color w:val="auto"/>
                <w:kern w:val="0"/>
                <w:sz w:val="24"/>
                <w:szCs w:val="24"/>
                <w:u w:val="none"/>
                <w:lang w:val="en-US" w:eastAsia="zh-CN" w:bidi="ar"/>
              </w:rPr>
              <w:t>连续性血液净化装置（CRRT)</w:t>
            </w:r>
          </w:p>
        </w:tc>
        <w:tc>
          <w:tcPr>
            <w:tcW w:w="794" w:type="dxa"/>
            <w:shd w:val="clear" w:color="auto" w:fill="auto"/>
            <w:noWrap/>
            <w:vAlign w:val="center"/>
          </w:tcPr>
          <w:p w14:paraId="4D0B11A5">
            <w:pPr>
              <w:keepNext w:val="0"/>
              <w:keepLines w:val="0"/>
              <w:widowControl/>
              <w:suppressLineNumbers w:val="0"/>
              <w:jc w:val="center"/>
              <w:textAlignment w:val="center"/>
              <w:rPr>
                <w:rFonts w:hint="eastAsia" w:ascii="宋体" w:hAnsi="宋体" w:eastAsia="宋体" w:cs="宋体"/>
                <w:bCs w:val="0"/>
                <w:i w:val="0"/>
                <w:iCs w:val="0"/>
                <w:color w:val="auto"/>
                <w:sz w:val="24"/>
                <w:szCs w:val="24"/>
                <w:u w:val="none"/>
              </w:rPr>
            </w:pPr>
            <w:r>
              <w:rPr>
                <w:rFonts w:hint="eastAsia" w:ascii="宋体" w:hAnsi="宋体" w:eastAsia="宋体" w:cs="宋体"/>
                <w:bCs w:val="0"/>
                <w:i w:val="0"/>
                <w:iCs w:val="0"/>
                <w:color w:val="auto"/>
                <w:sz w:val="24"/>
                <w:szCs w:val="24"/>
                <w:u w:val="none"/>
              </w:rPr>
              <w:t>套</w:t>
            </w:r>
          </w:p>
        </w:tc>
        <w:tc>
          <w:tcPr>
            <w:tcW w:w="750" w:type="dxa"/>
            <w:shd w:val="clear" w:color="auto" w:fill="auto"/>
            <w:noWrap/>
            <w:vAlign w:val="center"/>
          </w:tcPr>
          <w:p w14:paraId="000D31B0">
            <w:pPr>
              <w:keepNext w:val="0"/>
              <w:keepLines w:val="0"/>
              <w:widowControl/>
              <w:suppressLineNumbers w:val="0"/>
              <w:jc w:val="center"/>
              <w:textAlignment w:val="center"/>
              <w:rPr>
                <w:rFonts w:hint="eastAsia" w:ascii="宋体" w:hAnsi="宋体" w:eastAsia="宋体" w:cs="宋体"/>
                <w:bCs w:val="0"/>
                <w:i w:val="0"/>
                <w:iCs w:val="0"/>
                <w:color w:val="auto"/>
                <w:sz w:val="24"/>
                <w:szCs w:val="24"/>
                <w:u w:val="none"/>
              </w:rPr>
            </w:pPr>
            <w:r>
              <w:rPr>
                <w:rFonts w:hint="eastAsia" w:ascii="宋体" w:hAnsi="宋体" w:eastAsia="宋体" w:cs="宋体"/>
                <w:bCs w:val="0"/>
                <w:i w:val="0"/>
                <w:iCs w:val="0"/>
                <w:color w:val="auto"/>
                <w:kern w:val="0"/>
                <w:sz w:val="24"/>
                <w:szCs w:val="24"/>
                <w:u w:val="none"/>
                <w:lang w:val="en-US" w:eastAsia="zh-CN" w:bidi="ar"/>
              </w:rPr>
              <w:t>2</w:t>
            </w:r>
          </w:p>
        </w:tc>
        <w:tc>
          <w:tcPr>
            <w:tcW w:w="1302" w:type="dxa"/>
            <w:shd w:val="clear" w:color="auto" w:fill="auto"/>
            <w:noWrap/>
            <w:vAlign w:val="center"/>
          </w:tcPr>
          <w:p w14:paraId="752D641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Cs w:val="0"/>
                <w:i w:val="0"/>
                <w:iCs w:val="0"/>
                <w:color w:val="auto"/>
                <w:kern w:val="0"/>
                <w:sz w:val="24"/>
                <w:szCs w:val="24"/>
                <w:u w:val="none"/>
                <w:lang w:val="en-US" w:eastAsia="zh-CN" w:bidi="ar"/>
              </w:rPr>
            </w:pPr>
            <w:r>
              <w:rPr>
                <w:rFonts w:hint="eastAsia" w:ascii="宋体" w:hAnsi="宋体" w:eastAsia="宋体" w:cs="宋体"/>
                <w:bCs w:val="0"/>
                <w:i w:val="0"/>
                <w:iCs w:val="0"/>
                <w:color w:val="auto"/>
                <w:kern w:val="0"/>
                <w:sz w:val="24"/>
                <w:szCs w:val="24"/>
                <w:u w:val="none"/>
                <w:lang w:val="en-US" w:eastAsia="zh-CN" w:bidi="ar"/>
              </w:rPr>
              <w:t>接受</w:t>
            </w:r>
          </w:p>
        </w:tc>
        <w:tc>
          <w:tcPr>
            <w:tcW w:w="2404" w:type="dxa"/>
            <w:shd w:val="clear" w:color="auto" w:fill="auto"/>
            <w:noWrap/>
            <w:vAlign w:val="center"/>
          </w:tcPr>
          <w:p w14:paraId="43CFDF2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Cs w:val="0"/>
                <w:i w:val="0"/>
                <w:iCs w:val="0"/>
                <w:color w:val="auto"/>
                <w:kern w:val="0"/>
                <w:sz w:val="24"/>
                <w:szCs w:val="24"/>
                <w:u w:val="none"/>
                <w:lang w:val="en-US" w:eastAsia="zh-CN" w:bidi="ar"/>
              </w:rPr>
            </w:pPr>
            <w:r>
              <w:rPr>
                <w:rFonts w:hint="eastAsia" w:ascii="宋体" w:hAnsi="宋体" w:eastAsia="宋体" w:cs="宋体"/>
                <w:b w:val="0"/>
                <w:bCs w:val="0"/>
                <w:color w:val="auto"/>
                <w:sz w:val="24"/>
                <w:szCs w:val="24"/>
                <w:u w:val="none"/>
                <w:lang w:val="en-US" w:eastAsia="zh-CN"/>
              </w:rPr>
              <w:t>主机≥36个月，相关配件≥24个月，由投标人负责免费维护维修。</w:t>
            </w:r>
          </w:p>
        </w:tc>
      </w:tr>
    </w:tbl>
    <w:p w14:paraId="1880FE4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4"/>
          <w:szCs w:val="24"/>
          <w:u w:val="none"/>
          <w:lang w:val="en-US" w:eastAsia="zh-CN"/>
        </w:rPr>
      </w:pPr>
      <w:r>
        <w:rPr>
          <w:rFonts w:hint="eastAsia" w:ascii="宋体" w:hAnsi="宋体" w:eastAsia="宋体" w:cs="宋体"/>
          <w:b/>
          <w:bCs/>
          <w:color w:val="auto"/>
          <w:sz w:val="24"/>
          <w:szCs w:val="24"/>
          <w:u w:val="none"/>
          <w:lang w:val="en-US" w:eastAsia="zh-CN"/>
        </w:rPr>
        <w:t>注：</w:t>
      </w:r>
    </w:p>
    <w:p w14:paraId="54847A5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4"/>
          <w:szCs w:val="24"/>
          <w:u w:val="none"/>
          <w:lang w:val="en-US" w:eastAsia="zh-CN"/>
        </w:rPr>
      </w:pPr>
      <w:r>
        <w:rPr>
          <w:rFonts w:hint="eastAsia" w:ascii="宋体" w:hAnsi="宋体" w:eastAsia="宋体" w:cs="宋体"/>
          <w:b/>
          <w:bCs/>
          <w:color w:val="auto"/>
          <w:sz w:val="24"/>
          <w:szCs w:val="24"/>
          <w:u w:val="none"/>
          <w:lang w:val="en-US" w:eastAsia="zh-CN"/>
        </w:rPr>
        <w:t>1.投标报价要求：</w:t>
      </w:r>
    </w:p>
    <w:p w14:paraId="0817EE40">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auto"/>
          <w:sz w:val="24"/>
          <w:szCs w:val="24"/>
          <w:u w:val="none"/>
          <w:lang w:val="en-US" w:eastAsia="zh-CN"/>
        </w:rPr>
      </w:pPr>
      <w:r>
        <w:rPr>
          <w:rFonts w:hint="eastAsia" w:ascii="宋体" w:hAnsi="宋体" w:eastAsia="宋体" w:cs="宋体"/>
          <w:b/>
          <w:bCs/>
          <w:color w:val="auto"/>
          <w:sz w:val="24"/>
          <w:szCs w:val="24"/>
          <w:u w:val="none"/>
          <w:lang w:val="en-US" w:eastAsia="zh-CN"/>
        </w:rPr>
        <w:t>1.1.本合同约定的价款，除非另有特别说明，已经包含下列项目含税费用：</w:t>
      </w:r>
    </w:p>
    <w:p w14:paraId="3884DACE">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auto"/>
          <w:sz w:val="24"/>
          <w:szCs w:val="24"/>
          <w:u w:val="none"/>
          <w:lang w:val="en-US" w:eastAsia="zh-CN"/>
        </w:rPr>
      </w:pPr>
      <w:r>
        <w:rPr>
          <w:rFonts w:hint="eastAsia" w:ascii="宋体" w:hAnsi="宋体" w:eastAsia="宋体" w:cs="宋体"/>
          <w:b/>
          <w:bCs/>
          <w:color w:val="auto"/>
          <w:sz w:val="24"/>
          <w:szCs w:val="24"/>
          <w:u w:val="none"/>
          <w:lang w:val="en-US" w:eastAsia="zh-CN"/>
        </w:rPr>
        <w:t>（1）货物主体和配件、备品备件、硬件软件、包装、专用工具的费用；</w:t>
      </w:r>
    </w:p>
    <w:p w14:paraId="49F633BF">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auto"/>
          <w:sz w:val="24"/>
          <w:szCs w:val="24"/>
          <w:u w:val="none"/>
          <w:lang w:val="en-US" w:eastAsia="zh-CN"/>
        </w:rPr>
      </w:pPr>
      <w:r>
        <w:rPr>
          <w:rFonts w:hint="eastAsia" w:ascii="宋体" w:hAnsi="宋体" w:eastAsia="宋体" w:cs="宋体"/>
          <w:b/>
          <w:bCs/>
          <w:color w:val="auto"/>
          <w:sz w:val="24"/>
          <w:szCs w:val="24"/>
          <w:u w:val="none"/>
          <w:lang w:val="en-US" w:eastAsia="zh-CN"/>
        </w:rPr>
        <w:t>（2）安装/调试/检验、培训、技术服务和其他相关服务费用；</w:t>
      </w:r>
    </w:p>
    <w:p w14:paraId="075FF05C">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auto"/>
          <w:sz w:val="24"/>
          <w:szCs w:val="24"/>
          <w:u w:val="none"/>
          <w:lang w:val="en-US" w:eastAsia="zh-CN"/>
        </w:rPr>
      </w:pPr>
      <w:r>
        <w:rPr>
          <w:rFonts w:hint="eastAsia" w:ascii="宋体" w:hAnsi="宋体" w:eastAsia="宋体" w:cs="宋体"/>
          <w:b/>
          <w:bCs/>
          <w:color w:val="auto"/>
          <w:sz w:val="24"/>
          <w:szCs w:val="24"/>
          <w:u w:val="none"/>
          <w:lang w:val="en-US" w:eastAsia="zh-CN"/>
        </w:rPr>
        <w:t>（3）进出口手续费用（如有）；</w:t>
      </w:r>
    </w:p>
    <w:p w14:paraId="1DE2234A">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auto"/>
          <w:sz w:val="24"/>
          <w:szCs w:val="24"/>
          <w:u w:val="none"/>
          <w:lang w:val="en-US" w:eastAsia="zh-CN"/>
        </w:rPr>
      </w:pPr>
      <w:r>
        <w:rPr>
          <w:rFonts w:hint="eastAsia" w:ascii="宋体" w:hAnsi="宋体" w:eastAsia="宋体" w:cs="宋体"/>
          <w:b/>
          <w:bCs/>
          <w:color w:val="auto"/>
          <w:sz w:val="24"/>
          <w:szCs w:val="24"/>
          <w:u w:val="none"/>
          <w:lang w:val="en-US" w:eastAsia="zh-CN"/>
        </w:rPr>
        <w:t>（4）运输到指定交货地点的运费、保险费用等。</w:t>
      </w:r>
    </w:p>
    <w:p w14:paraId="4F5122A2">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auto"/>
          <w:sz w:val="24"/>
          <w:szCs w:val="24"/>
          <w:u w:val="none"/>
          <w:lang w:val="en-US" w:eastAsia="zh-CN"/>
        </w:rPr>
      </w:pPr>
      <w:r>
        <w:rPr>
          <w:rFonts w:hint="eastAsia" w:ascii="宋体" w:hAnsi="宋体" w:eastAsia="宋体" w:cs="宋体"/>
          <w:b/>
          <w:bCs/>
          <w:color w:val="auto"/>
          <w:sz w:val="24"/>
          <w:szCs w:val="24"/>
          <w:u w:val="none"/>
          <w:lang w:val="en-US" w:eastAsia="zh-CN"/>
        </w:rPr>
        <w:t>除非另有明确约定，海南省卫生健康委员会、市县卫健委无需就本次购买向供应商支付其他费用。</w:t>
      </w:r>
    </w:p>
    <w:p w14:paraId="319F98A7">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auto"/>
          <w:sz w:val="24"/>
          <w:szCs w:val="24"/>
          <w:u w:val="none"/>
          <w:lang w:val="en-US" w:eastAsia="zh-CN"/>
        </w:rPr>
      </w:pPr>
      <w:r>
        <w:rPr>
          <w:rFonts w:hint="eastAsia" w:ascii="宋体" w:hAnsi="宋体" w:eastAsia="宋体" w:cs="宋体"/>
          <w:b/>
          <w:bCs/>
          <w:color w:val="auto"/>
          <w:sz w:val="24"/>
          <w:szCs w:val="24"/>
          <w:u w:val="none"/>
          <w:lang w:val="en-US" w:eastAsia="zh-CN"/>
        </w:rPr>
        <w:t>1.2各方确认：合同约定价款不因劳务、市场设备价格、政策变化而调整。</w:t>
      </w:r>
    </w:p>
    <w:p w14:paraId="7C3CE0C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4"/>
          <w:szCs w:val="24"/>
          <w:u w:val="none"/>
          <w:lang w:val="en-US" w:eastAsia="zh-CN"/>
        </w:rPr>
      </w:pPr>
      <w:r>
        <w:rPr>
          <w:rFonts w:hint="eastAsia" w:ascii="宋体" w:hAnsi="宋体" w:eastAsia="宋体" w:cs="宋体"/>
          <w:b/>
          <w:bCs/>
          <w:color w:val="auto"/>
          <w:sz w:val="24"/>
          <w:szCs w:val="24"/>
          <w:u w:val="none"/>
          <w:lang w:val="en-US" w:eastAsia="zh-CN"/>
        </w:rPr>
        <w:t>2.如所供货物为医疗器械的,医疗产品注册证上的名称与采购标的名称不一致的,需在《投标（响应）报价明细表》的“备注”中明确,验收以医疗器械注册证上的产品名称为准。</w:t>
      </w:r>
    </w:p>
    <w:p w14:paraId="6462C30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bCs/>
          <w:color w:val="auto"/>
          <w:sz w:val="24"/>
          <w:szCs w:val="24"/>
          <w:u w:val="none"/>
          <w:lang w:val="en-US" w:eastAsia="zh-CN"/>
        </w:rPr>
        <w:t>3.投标报价超过所投标包或所投产品单价采购预算（最高限价）的，均视为无效投标。</w:t>
      </w:r>
    </w:p>
    <w:p w14:paraId="3A1F1493">
      <w:pPr>
        <w:jc w:val="both"/>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br w:type="page"/>
      </w:r>
    </w:p>
    <w:p w14:paraId="2844C88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（二）技术参数要求</w:t>
      </w:r>
    </w:p>
    <w:p w14:paraId="343783E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01包技术参数要求</w:t>
      </w:r>
    </w:p>
    <w:p w14:paraId="3245F93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血透水处理设备（一）</w:t>
      </w:r>
    </w:p>
    <w:p w14:paraId="75778A6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1.技术参数</w:t>
      </w:r>
    </w:p>
    <w:p w14:paraId="49FE3054">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系统类型：血液透析专用单台一体化双级反渗系统，非两台单级或双级串联组装，全闭路循环管路直供水，集成式双级反渗</w:t>
      </w:r>
    </w:p>
    <w:p w14:paraId="46A6CD40">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单台双级反渗主机反渗膜单元数量≥5支</w:t>
      </w:r>
    </w:p>
    <w:p w14:paraId="795D25A0">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一级反渗膜≥3支，二级反渗膜≥2支</w:t>
      </w:r>
    </w:p>
    <w:p w14:paraId="73AEEC33">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1.4</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全系统无死腔结构：环路耐压性≥10bar；取水点结构死腔最小死腔符合 6 - d 规则（GMP）</w:t>
      </w:r>
    </w:p>
    <w:p w14:paraId="1D3DBD81">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1.5</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单台反渗主机重量≤800kg</w:t>
      </w:r>
    </w:p>
    <w:p w14:paraId="4C4DB7D1">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1.6</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系统脱盐率：一价离子≥95% ；二价离子 ≥99%</w:t>
      </w:r>
    </w:p>
    <w:p w14:paraId="45FF74E5">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1.7</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主机材质：316L不锈钢或304不锈钢</w:t>
      </w:r>
    </w:p>
    <w:p w14:paraId="61719202">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输水管路材质：PEX或PPR</w:t>
      </w:r>
    </w:p>
    <w:p w14:paraId="379FA378">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1.8</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设备使用年限≥10年</w:t>
      </w:r>
    </w:p>
    <w:p w14:paraId="169CFAC9">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 xml:space="preserve">1.9 </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设备数据保留时长≥10年</w:t>
      </w:r>
    </w:p>
    <w:p w14:paraId="4A212478">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1.10</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反渗膜壳：316L 不锈钢单壳结构全自动焊接而成；耐压≥25bar</w:t>
      </w:r>
    </w:p>
    <w:p w14:paraId="25F297C6">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具有无死腔膜组件，保证反渗透膜外侧和膜壳内侧之间的死腔被连续冲洗。原水、浓水和反渗水的所有连接件均位于组件顶部</w:t>
      </w:r>
    </w:p>
    <w:p w14:paraId="3C20E122">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反渗主机产水量：≥3600L/小时，满足≥70台血液透析设备用水</w:t>
      </w:r>
    </w:p>
    <w:p w14:paraId="06ED2EED">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主环管路水流流速：≥0.5m/s</w:t>
      </w:r>
    </w:p>
    <w:p w14:paraId="540ACC0F">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1.14</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具备环路稳压与监测装置</w:t>
      </w:r>
    </w:p>
    <w:p w14:paraId="69C40B90">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1.15</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反渗水管路水流速度：环路满负荷最大量消耗下，水流速度≥0.5m/s；环路末端压力≥1.5bar</w:t>
      </w:r>
    </w:p>
    <w:p w14:paraId="703C9AC5">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▲1.16</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反渗主机运行功率≥10kw</w:t>
      </w:r>
    </w:p>
    <w:p w14:paraId="64F6342C">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1.17</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反渗主机离心泵数量≥2个</w:t>
      </w:r>
    </w:p>
    <w:p w14:paraId="0EF1AFBF">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1.18</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主机泵转速≥2850rpm</w:t>
      </w:r>
    </w:p>
    <w:p w14:paraId="268E9DAF">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1.19</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超温排放：反渗水达到设定温度时，可通过环路回流排放，以便添加新鲜软水来降低温度</w:t>
      </w:r>
    </w:p>
    <w:p w14:paraId="7CE14B68">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1.20</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极限温度可设置</w:t>
      </w:r>
    </w:p>
    <w:p w14:paraId="44A1BCA4">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 xml:space="preserve">产水率：根据水质可设置高产水率 </w:t>
      </w:r>
    </w:p>
    <w:p w14:paraId="2B69995B">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全自动砂滤罐、全自动活性炭罐、全自动树脂罐 (软水器)的罐体耐压≥150psi</w:t>
      </w:r>
    </w:p>
    <w:p w14:paraId="41E1E02D">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全自动砂滤罐、全自动活性炭罐、全自动树脂罐 (软水器)的罐体采用高性能复合材料HDPE内胆和玻璃纤维缠绕外壳</w:t>
      </w:r>
    </w:p>
    <w:p w14:paraId="3ECDEA08">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1.24</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前处理摆放要求：符合《血液净化标准操作规程（2021 版）》要求</w:t>
      </w:r>
    </w:p>
    <w:p w14:paraId="01ED2099">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1.25</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设备间距要求：水处理间各设备（全自动砂滤（铁质）过滤器、全自动（活性炭）过滤器、全自动树脂罐 (软水器)、双级反渗主机）之间水平间距不小于 30 厘米。保障维护与操作空间充裕，便于设备维修、部件更换及日常清洁工作。</w:t>
      </w:r>
    </w:p>
    <w:p w14:paraId="0C713D6F">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1.26</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排水系统设计：明确水处理房间内排水位置与数量，确保排水迅速且无积水，防止因排水不畅导致设备浸泡损坏或滋生细菌等问题。</w:t>
      </w:r>
    </w:p>
    <w:p w14:paraId="483781DE">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1.27</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电气系统规划：标注水处理房间内电气配电箱、插座位置，避免电气故障引发安全事故或影响设备正常运行。</w:t>
      </w:r>
    </w:p>
    <w:p w14:paraId="0AE5CE46">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1.28</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管道规格：供水管道直径≥32毫米。有助于保证管道的输水能力，避免因管径过小而导致的水流阻力过大、水压不足等问题，从而保障反渗水能够顺利、稳定地输送到各个血透床位。</w:t>
      </w:r>
    </w:p>
    <w:p w14:paraId="34C87F01">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1.29</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反渗透主机为开放式，非整体封闭机箱设计。反渗透膜壳、泵体与机箱配电箱独立，水电分离，膜壳与泵体外露，便于检修与散热</w:t>
      </w:r>
    </w:p>
    <w:p w14:paraId="62B79686">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default"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★1.30设备使用单位房间大小（长×宽×高）：7.3m×2.5m×2.7m。投标产品必须能够在以上房间安装使用。</w:t>
      </w:r>
    </w:p>
    <w:p w14:paraId="321F4E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★2.配置清单</w:t>
      </w:r>
    </w:p>
    <w:p w14:paraId="1E3FBF6C">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2.1 双级反渗主机 1台</w:t>
      </w:r>
    </w:p>
    <w:p w14:paraId="6054E025">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2.2 全自动砂滤罐1套</w:t>
      </w:r>
    </w:p>
    <w:p w14:paraId="106F80F4">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2.3 全自动树脂罐（软水器）1套</w:t>
      </w:r>
    </w:p>
    <w:p w14:paraId="31464ED7">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2.4 全自动活性炭罐1套</w:t>
      </w:r>
    </w:p>
    <w:p w14:paraId="74BEEB63">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2.5 反渗水管路系统1套</w:t>
      </w:r>
    </w:p>
    <w:p w14:paraId="65CF049C">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4"/>
          <w:szCs w:val="24"/>
          <w:u w:val="none"/>
          <w:lang w:val="en-US" w:eastAsia="zh-CN"/>
        </w:rPr>
        <w:t>2.6 ≥70台血液透析设备的接口</w:t>
      </w:r>
      <w:r>
        <w:rPr>
          <w:rFonts w:hint="eastAsia" w:ascii="宋体" w:hAnsi="宋体" w:eastAsia="宋体" w:cs="宋体"/>
          <w:b w:val="0"/>
          <w:bCs w:val="0"/>
          <w:color w:val="auto"/>
          <w:sz w:val="28"/>
          <w:szCs w:val="28"/>
          <w:u w:val="none"/>
          <w:lang w:val="en-US" w:eastAsia="zh-CN"/>
        </w:rPr>
        <w:br w:type="page"/>
      </w:r>
    </w:p>
    <w:p w14:paraId="57332EC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02包技术参数要求</w:t>
      </w:r>
    </w:p>
    <w:p w14:paraId="51D14E5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血透水处理设备（二）</w:t>
      </w:r>
    </w:p>
    <w:p w14:paraId="48E7C7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1.技术参数：</w:t>
      </w:r>
    </w:p>
    <w:p w14:paraId="336A082E">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系统类型：血液透析专用单台一体化双级反渗系统，非两台单级或双级串联组装，全闭路循环管路直供水，集成式双级反渗</w:t>
      </w:r>
    </w:p>
    <w:p w14:paraId="162C8038">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单台双级反渗主机反渗膜单元数量≥4支</w:t>
      </w:r>
    </w:p>
    <w:p w14:paraId="00F13D4B">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一级反渗膜≥2支，二级反渗膜≥2支</w:t>
      </w:r>
    </w:p>
    <w:p w14:paraId="1F882BBD">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1.4</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全系统无死腔结构：环路耐压性≥10bar</w:t>
      </w:r>
    </w:p>
    <w:p w14:paraId="2726C5E7">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1.5</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单台反渗主机系统重量：≤800kg</w:t>
      </w:r>
    </w:p>
    <w:p w14:paraId="7F1D92C8">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1.6</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系统脱盐率：一价离子≥95% ；二价离子≥99%</w:t>
      </w:r>
    </w:p>
    <w:p w14:paraId="085183C1">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1.7</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主机材质：316L不锈钢或304不锈钢</w:t>
      </w:r>
    </w:p>
    <w:p w14:paraId="0DDC4EAA">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1.8</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输水管路材质：PEX或PPR</w:t>
      </w:r>
    </w:p>
    <w:p w14:paraId="5CF1977A">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1.9</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设备使用年限≥10年</w:t>
      </w:r>
    </w:p>
    <w:p w14:paraId="108E35C3">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1.10 设备数据保留时长≥10年</w:t>
      </w:r>
    </w:p>
    <w:p w14:paraId="726AEADC">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反渗膜壳：316L 不锈钢单壳结构全自动焊接而成；耐压≥25bar</w:t>
      </w:r>
    </w:p>
    <w:p w14:paraId="49DF9330">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具有无死腔膜组件，保证反渗透膜外侧和膜壳内侧之间的死腔被连续冲洗。原水、浓水和反渗水的所有连接件均位于组件顶部</w:t>
      </w:r>
    </w:p>
    <w:p w14:paraId="658EA4D1">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单台反渗主机产水量：≥2400L/小时，满足≥50台血液透析设备用水需求</w:t>
      </w:r>
    </w:p>
    <w:p w14:paraId="3B6AB2FA">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1.14</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主环管路水流流速≥0.5m/s</w:t>
      </w:r>
    </w:p>
    <w:p w14:paraId="2DF485F9">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1.15</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反渗水管路水流速度：环路满负荷最大量消耗下，水流速度≥0.5m/s；环路末端压力≥1.5bar</w:t>
      </w:r>
    </w:p>
    <w:p w14:paraId="18E2954A">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▲1.16</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反渗主机运行功率≥10kw</w:t>
      </w:r>
    </w:p>
    <w:p w14:paraId="55C5A258">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1.17</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反渗主机离心泵数量≥2个</w:t>
      </w:r>
    </w:p>
    <w:p w14:paraId="2BAB0BD0">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1.18</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温度可设置，超设定温度时可自动排浓水降温</w:t>
      </w:r>
    </w:p>
    <w:p w14:paraId="22FB3948">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1.19</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极限温度：反渗水超过设定温度时，系统关闭</w:t>
      </w:r>
    </w:p>
    <w:p w14:paraId="79BEAB1A">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1.20 全自动砂滤罐、全自动活性炭罐、全自动树脂罐 (软水器)的罐体耐压≥150psi</w:t>
      </w:r>
    </w:p>
    <w:p w14:paraId="3439AAB2">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全自动砂滤罐、全自动活性炭罐、全自动树脂罐 (软水器)的罐体采用高性能复合材料HDPE内胆和玻璃纤维缠绕外壳</w:t>
      </w:r>
    </w:p>
    <w:p w14:paraId="4F7C84DA">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前处理摆放要求：符合《血液净化标准操作规程（2021 版）》要求</w:t>
      </w:r>
    </w:p>
    <w:p w14:paraId="6DDABF58">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设备间距要求：水处理间各设备（全自动砂滤（铁质）过滤器、全自动（活性炭）过滤器、全自动树脂罐 (软水器)、双级反渗主机）之间水平间距不小于30厘米。保障维护与操作空间充裕，便于设备维修、部件更换及日常清洁工作。</w:t>
      </w:r>
    </w:p>
    <w:p w14:paraId="2225B070">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1.24</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排水系统设计：明确水处理房间内排水位置与数量，确保排水迅速且无积水，防止因排水不畅导致设备浸泡损坏或滋生细菌等问题。</w:t>
      </w:r>
    </w:p>
    <w:p w14:paraId="36293B53">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1.25</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电气系统规划：标注水处理房间内电气配电箱、插座位置，避免电气故障引发安全事故或影响设备正常运行。</w:t>
      </w:r>
    </w:p>
    <w:p w14:paraId="2B6005ED">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1.26</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管道规格：供水管道直径≥32毫米。有助于保证管道的输水能力，避免因管径过小而导致的水流阻力过大、水压不足等问题，从而保障反渗水能够顺利、稳定地输送到各个血透床位。</w:t>
      </w:r>
    </w:p>
    <w:p w14:paraId="69EA9F9C">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1.27</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反渗透主机为开放式，非整体封闭机箱设计。反渗透膜壳、泵体与机箱配电箱独立，水电分离，膜壳与泵体外露，便于检修与散热</w:t>
      </w:r>
    </w:p>
    <w:p w14:paraId="378DCE39">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default"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★1.28设备使用单位房间大小（长×宽×高）：6m×4m×2.35m。投标产品必须能够在以上房间安装使用。</w:t>
      </w:r>
    </w:p>
    <w:p w14:paraId="5534E5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★2.配置清单</w:t>
      </w:r>
    </w:p>
    <w:p w14:paraId="2972EF67">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2.1  双级反渗主机 1台</w:t>
      </w:r>
    </w:p>
    <w:p w14:paraId="69611241">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2.2  全自动砂滤罐1套</w:t>
      </w:r>
    </w:p>
    <w:p w14:paraId="46E8E598">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2.3  全自动树脂罐（软水器）1套</w:t>
      </w:r>
    </w:p>
    <w:p w14:paraId="1D154B30">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2.4  全自动活性炭罐1套</w:t>
      </w:r>
    </w:p>
    <w:p w14:paraId="50D84395">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2.5  反渗水管路系统1套</w:t>
      </w:r>
    </w:p>
    <w:p w14:paraId="19665A58">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2.6  ≥50台血液透析设备接口</w:t>
      </w:r>
    </w:p>
    <w:p w14:paraId="658ACA5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2"/>
          <w:sz w:val="24"/>
          <w:szCs w:val="24"/>
          <w:lang w:val="en-US" w:eastAsia="zh-CN" w:bidi="ar-SA"/>
        </w:rPr>
      </w:pPr>
    </w:p>
    <w:p w14:paraId="0C32EB10">
      <w:p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br w:type="page"/>
      </w:r>
    </w:p>
    <w:p w14:paraId="2BFCF32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03包技术参数要求</w:t>
      </w:r>
    </w:p>
    <w:p w14:paraId="382DC02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血液透析机（双泵一）</w:t>
      </w:r>
    </w:p>
    <w:p w14:paraId="2BAA635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1.功能要求</w:t>
      </w:r>
    </w:p>
    <w:p w14:paraId="4C09114A">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有中文/英文等语言操作，可随意切换</w:t>
      </w:r>
    </w:p>
    <w:p w14:paraId="04125AB5">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具有治疗模式：血液透析、单纯超滤、On-Line-HDF和HF</w:t>
      </w:r>
    </w:p>
    <w:p w14:paraId="4040FED1">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彩色液晶触摸屏，屏幕≥10英寸</w:t>
      </w:r>
    </w:p>
    <w:p w14:paraId="74B9FAA6">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1.4</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显示屏幕可旋转，旋转角度≥120度</w:t>
      </w:r>
    </w:p>
    <w:p w14:paraId="46E0DC5A">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1.5</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机器报警时，机器不列入治疗时间，可以保证患者的治疗时间准确</w:t>
      </w:r>
    </w:p>
    <w:p w14:paraId="70511023">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1.6</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机器自带专用排液口，预冲管路时无需废液袋</w:t>
      </w:r>
    </w:p>
    <w:p w14:paraId="031EE0AE">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1.7</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具备全自动联机排除废液，可一键式操作排空血液管路及透析器膜内外液体</w:t>
      </w:r>
    </w:p>
    <w:p w14:paraId="25E89965">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1.8</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HD、HDF治疗模式可随时自由切换</w:t>
      </w:r>
    </w:p>
    <w:p w14:paraId="4FFEDD4E">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1.9</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配置碳酸氢盐干粉装置（B粉干粉桶支架）</w:t>
      </w:r>
    </w:p>
    <w:p w14:paraId="085AD0AA">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1.10</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应具有漏血监测、空气监测等功能</w:t>
      </w:r>
    </w:p>
    <w:p w14:paraId="35CB6747">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内置后备电源，停电后可维持血液回路工作30分钟以上</w:t>
      </w:r>
    </w:p>
    <w:p w14:paraId="69F45F60">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具有静脉壶液面调节功能</w:t>
      </w:r>
    </w:p>
    <w:p w14:paraId="07E9A404">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具有动脉壶液面调节功能</w:t>
      </w:r>
    </w:p>
    <w:p w14:paraId="75D2F532">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1.14</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自动血泵滚轮间隙调整</w:t>
      </w:r>
    </w:p>
    <w:p w14:paraId="58F4AFCA">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1.15</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≥3色工作报警指示灯</w:t>
      </w:r>
    </w:p>
    <w:p w14:paraId="6C78A7C4">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1.16</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满足临床透析监测要求：有血压、Kt/V、URR实时监测功能，如有血温、血容量监测。</w:t>
      </w:r>
    </w:p>
    <w:p w14:paraId="6F139A22">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1.17</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具备透析液联动血泵流速，透析液流速随着血泵流速变化而自动调整</w:t>
      </w:r>
    </w:p>
    <w:p w14:paraId="76DA7BCE">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1.18</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具备置换液联动血泵流速，置换液流速随着血泵流速变化而自动调整</w:t>
      </w:r>
    </w:p>
    <w:p w14:paraId="4AF7F02A">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1.19</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具备自动开机、自动关机功能</w:t>
      </w:r>
    </w:p>
    <w:p w14:paraId="511525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2.血路部分</w:t>
      </w:r>
    </w:p>
    <w:p w14:paraId="1716EC24">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血泵：流量设定：最小值≤40mL/min且最大值≥500mL/min</w:t>
      </w:r>
    </w:p>
    <w:p w14:paraId="27FEF052">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置换液流量：最小值≤30mL/min且最大值≥500mL/min</w:t>
      </w:r>
    </w:p>
    <w:p w14:paraId="7A0B9B7D">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肝素泵适用注射器：注射器≥2种规格注射器</w:t>
      </w:r>
    </w:p>
    <w:p w14:paraId="53556873">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2.4</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动脉压测量范围：最小值≤-300mmHg且最大值≥+300mHg</w:t>
      </w:r>
    </w:p>
    <w:p w14:paraId="722C8EE6">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2.5</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静脉压测量范围：最小值≤-20mmHg且最大值≥+300mmHg</w:t>
      </w:r>
    </w:p>
    <w:p w14:paraId="0E74E6A8">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2.6</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TMP跨膜压监测范围：最小值≤-100mmHg且最大值≥+350mmHg</w:t>
      </w:r>
    </w:p>
    <w:p w14:paraId="58CAADC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3.透析液部分</w:t>
      </w:r>
    </w:p>
    <w:p w14:paraId="2283D6BD">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具有透析液配比方式</w:t>
      </w:r>
    </w:p>
    <w:p w14:paraId="7D9DF346">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透析液A液、B液的电导度在治疗过程中可随时调整</w:t>
      </w:r>
    </w:p>
    <w:p w14:paraId="16756D1B">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A原液：活塞泵的定量混合方式；B原液：活塞泵反馈方式</w:t>
      </w:r>
    </w:p>
    <w:p w14:paraId="4DABF44F">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3.4</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透析液流量：最小值≤300mL/min且最大值≥700mL/min；</w:t>
      </w:r>
    </w:p>
    <w:p w14:paraId="692A1750">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3.5</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超滤率：最小值≤0.1L/h且最大值≥4L/h</w:t>
      </w:r>
    </w:p>
    <w:p w14:paraId="6C299C90">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3.6</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透析液浓度曲线治疗和碳酸氢盐浓度曲线治疗</w:t>
      </w:r>
    </w:p>
    <w:p w14:paraId="007E285C">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3.7</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适合任意厂家任意种类的透析液配方，浓度设定范围广</w:t>
      </w:r>
    </w:p>
    <w:p w14:paraId="7C7548FE">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3.8</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透析液温度监测超温报警</w:t>
      </w:r>
    </w:p>
    <w:p w14:paraId="71B2998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4.清洗消毒</w:t>
      </w:r>
    </w:p>
    <w:p w14:paraId="558235F1">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4.1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支持多种消毒方式可供选择并且保证消毒质量</w:t>
      </w:r>
    </w:p>
    <w:p w14:paraId="551BC89B">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4.2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在保证消毒质量的情况下，最短消毒时间应≤40分钟</w:t>
      </w:r>
    </w:p>
    <w:p w14:paraId="2117E86E">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4.3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至少要有以下几种消毒模式</w:t>
      </w:r>
    </w:p>
    <w:p w14:paraId="1807DA26">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4.3.1 热消毒：温度大于≥95℃</w:t>
      </w:r>
    </w:p>
    <w:p w14:paraId="73B413B7">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4.3.2 柠檬酸热消毒：温度≥80℃</w:t>
      </w:r>
    </w:p>
    <w:p w14:paraId="5D4D84E4">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4.3.3 次氯酸钠消毒</w:t>
      </w:r>
    </w:p>
    <w:p w14:paraId="0393CDFE">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4.4</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支持消毒后自动关机功能</w:t>
      </w:r>
    </w:p>
    <w:p w14:paraId="1CDBD0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5.水路、电路分离</w:t>
      </w:r>
    </w:p>
    <w:p w14:paraId="086FBCF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6.具有维修菜单、故障自我诊断，屏幕上显示即时工作状态</w:t>
      </w:r>
    </w:p>
    <w:p w14:paraId="3C48E3D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★7.配置清单</w:t>
      </w:r>
    </w:p>
    <w:p w14:paraId="7AF5FA23">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7.1  主机1台；</w:t>
      </w:r>
    </w:p>
    <w:p w14:paraId="5743B00E">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7.2  指示灯1个；</w:t>
      </w:r>
    </w:p>
    <w:p w14:paraId="593F8D5F">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7.3  挂钩1个；</w:t>
      </w:r>
    </w:p>
    <w:p w14:paraId="631D2D62">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7.4  透析器夹子1个；</w:t>
      </w:r>
    </w:p>
    <w:p w14:paraId="40C37CF0">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7.5  进水管1条；</w:t>
      </w:r>
    </w:p>
    <w:p w14:paraId="62A019D4">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7.6  排液管1条；</w:t>
      </w:r>
    </w:p>
    <w:p w14:paraId="7549C6E6">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7.7  不锈钢卡箍3个；</w:t>
      </w:r>
    </w:p>
    <w:p w14:paraId="4EB2F6AA">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7.8  托盘1个；</w:t>
      </w:r>
    </w:p>
    <w:p w14:paraId="57BB47D6">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7.9  内毒素过滤器盖 1个；</w:t>
      </w:r>
    </w:p>
    <w:p w14:paraId="2832D43B">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7.10  内毒素过滤器支架2个；</w:t>
      </w:r>
    </w:p>
    <w:p w14:paraId="75D4630F">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7.11  消毒液罐支架1个；</w:t>
      </w:r>
    </w:p>
    <w:p w14:paraId="4CB0145C">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7.12  袖带软管及袖带1套；</w:t>
      </w:r>
    </w:p>
    <w:p w14:paraId="002A50EC">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b w:val="0"/>
          <w:bCs w:val="0"/>
          <w:color w:val="auto"/>
          <w:sz w:val="24"/>
          <w:szCs w:val="24"/>
          <w:u w:val="none"/>
          <w:lang w:val="en-US" w:eastAsia="zh-CN"/>
        </w:rPr>
        <w:t>7.13  在线血滤HDF装置  1套</w:t>
      </w:r>
    </w:p>
    <w:p w14:paraId="2FFCDD5D">
      <w:p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br w:type="page"/>
      </w:r>
    </w:p>
    <w:p w14:paraId="2A5151C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04包技术参数要求</w:t>
      </w:r>
    </w:p>
    <w:p w14:paraId="6D25EA1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血液透析机（双泵二）</w:t>
      </w:r>
    </w:p>
    <w:p w14:paraId="4BFF9A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1.主要技术参数</w:t>
      </w:r>
    </w:p>
    <w:p w14:paraId="1CFBA5E9">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设备使用期限≥10年</w:t>
      </w:r>
    </w:p>
    <w:p w14:paraId="5F26FEE3">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供水压力范围：最小值≤1bar且最大值≥6bar</w:t>
      </w:r>
    </w:p>
    <w:p w14:paraId="1AD6E06E">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超滤速度：最小值≤0.1L/h且最大值≥4L/h</w:t>
      </w:r>
    </w:p>
    <w:p w14:paraId="7E2CF2CF">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1.4</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应具有漏血监测、空气监测功能。</w:t>
      </w:r>
    </w:p>
    <w:p w14:paraId="72F35728">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1.5</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血液流速调节范围：最小值≤50mL/min且最大值≥550mL/min</w:t>
      </w:r>
    </w:p>
    <w:p w14:paraId="5733EA9F">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1.6</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肝素泵设置范围：最小值为0，最大值≥9.9mL/h</w:t>
      </w:r>
    </w:p>
    <w:p w14:paraId="7632EF67">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1.7</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动脉压测量范围：最小值≤-300mmHg且最大值≥+300mHg</w:t>
      </w:r>
    </w:p>
    <w:p w14:paraId="5DB13743">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1.8</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静脉压测量范围：最小值≤-20mmHg且最大值≥+300mmHg</w:t>
      </w:r>
    </w:p>
    <w:p w14:paraId="014AB509">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1.9</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TMP跨膜压监测范围：最小值≤-100mmHg且最大值≥+350mmHg</w:t>
      </w:r>
    </w:p>
    <w:p w14:paraId="33C4011D">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1.10 透析液浓度设置范围：最小值≤13mS/cm且最大值≥15mS/cm</w:t>
      </w:r>
    </w:p>
    <w:p w14:paraId="4B16FBC2">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1.11 满足临床透析监测要求：有血压、Kt/V、URR实时监测功能，如有血温、血容量监测。</w:t>
      </w:r>
    </w:p>
    <w:p w14:paraId="5C3A9E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2.功能参数</w:t>
      </w:r>
    </w:p>
    <w:p w14:paraId="3347A5D8">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▲2.1具有治疗模式：血液透析、单纯超滤、On-Line-HDF和HF</w:t>
      </w:r>
    </w:p>
    <w:p w14:paraId="16B4EF57">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屏幕：≥12英寸彩色液晶触摸显示屏</w:t>
      </w:r>
    </w:p>
    <w:p w14:paraId="23FF42C2">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至少要有以下几种消毒模式</w:t>
      </w:r>
    </w:p>
    <w:p w14:paraId="7C5BBF78">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2.3.1 热消毒：温度≥95℃</w:t>
      </w:r>
    </w:p>
    <w:p w14:paraId="1532697C">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2.3.2 柠檬酸热消毒：温度≥80℃</w:t>
      </w:r>
    </w:p>
    <w:p w14:paraId="44ACA445">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2.3.3 次氯酸钠消毒</w:t>
      </w:r>
    </w:p>
    <w:p w14:paraId="248F5D89">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2.4</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采用容量式平衡与超滤控制系统</w:t>
      </w:r>
    </w:p>
    <w:p w14:paraId="165FFB27">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2.5</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可预先存储≥7条透析液浓度曲线，每条曲线均可修改并存储</w:t>
      </w:r>
    </w:p>
    <w:p w14:paraId="0834A64B">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2.6</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可预先存储≥7条超滤曲线，每条曲线均可修改并存储</w:t>
      </w:r>
    </w:p>
    <w:p w14:paraId="39214338">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2.7</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配置碳酸氢盐干粉自动配制系统</w:t>
      </w:r>
    </w:p>
    <w:p w14:paraId="78A0E6D7">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2.8</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液面调整：具备动脉壶和静脉壶液面电动调整功能</w:t>
      </w:r>
    </w:p>
    <w:p w14:paraId="41A99AF9">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2.9</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具有透析液过滤器组件</w:t>
      </w:r>
    </w:p>
    <w:p w14:paraId="713ADACD">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2.10 具备全中文报警自我解释功能，可提示报警的原因与排除的方式</w:t>
      </w:r>
    </w:p>
    <w:p w14:paraId="465C3A88">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2.11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具有治疗结束后一键排液功能</w:t>
      </w:r>
    </w:p>
    <w:p w14:paraId="514BD49E">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2.12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具有后备电池：停电后自动切换至紧急蓄电池工作模式，继续监视血液循环参数所有报警都能正常工作</w:t>
      </w:r>
    </w:p>
    <w:p w14:paraId="66723EF7">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2.13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具有通讯接口</w:t>
      </w:r>
    </w:p>
    <w:p w14:paraId="6D9D1A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★3.配置清单</w:t>
      </w:r>
    </w:p>
    <w:p w14:paraId="06BDD540">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3.1.主机 1台</w:t>
      </w:r>
    </w:p>
    <w:p w14:paraId="2FC0C734">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3.2.透析液过滤器 2个</w:t>
      </w:r>
    </w:p>
    <w:p w14:paraId="093C7867">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3.3.架子 1个</w:t>
      </w:r>
    </w:p>
    <w:p w14:paraId="17BB9187">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3.4.供水管组件 1套</w:t>
      </w:r>
    </w:p>
    <w:p w14:paraId="18056476">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 xml:space="preserve">3.5.排液管 1个 </w:t>
      </w:r>
    </w:p>
    <w:p w14:paraId="327A6B12">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3.6.手柄组件 1套</w:t>
      </w:r>
    </w:p>
    <w:p w14:paraId="04BEB479">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3.7.管箍 1 个</w:t>
      </w:r>
    </w:p>
    <w:p w14:paraId="2B732206">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3.8.调整治具 1 个</w:t>
      </w:r>
    </w:p>
    <w:p w14:paraId="2F31C8E8">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3.9.采样口组件 1 套</w:t>
      </w:r>
    </w:p>
    <w:p w14:paraId="21C645B3">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3.10.药液吸管组件(次氯酸钠) 1 套</w:t>
      </w:r>
    </w:p>
    <w:p w14:paraId="0D4864D7">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3.11.药液吸管组件(消毒液) 1 套</w:t>
      </w:r>
    </w:p>
    <w:p w14:paraId="751FABB5">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3.12.透析器接头组件 1套</w:t>
      </w:r>
    </w:p>
    <w:p w14:paraId="21B5A712">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3.13.透析器支架组件 1套</w:t>
      </w:r>
    </w:p>
    <w:p w14:paraId="5B2D5E69">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b w:val="0"/>
          <w:bCs w:val="0"/>
          <w:color w:val="auto"/>
          <w:sz w:val="24"/>
          <w:szCs w:val="24"/>
          <w:u w:val="none"/>
          <w:lang w:val="en-US" w:eastAsia="zh-CN"/>
        </w:rPr>
        <w:t>3.14.在线血滤 HDF装置  1套</w:t>
      </w:r>
    </w:p>
    <w:p w14:paraId="6B713404">
      <w:pPr>
        <w:keepNext w:val="0"/>
        <w:keepLines w:val="0"/>
        <w:pageBreakBefore w:val="0"/>
        <w:widowControl w:val="0"/>
        <w:kinsoku/>
        <w:wordWrap/>
        <w:overflowPunct/>
        <w:topLinePunct w:val="0"/>
        <w:autoSpaceDE/>
        <w:autoSpaceDN/>
        <w:bidi w:val="0"/>
        <w:adjustRightInd/>
        <w:snapToGrid/>
        <w:spacing w:line="360" w:lineRule="auto"/>
        <w:ind w:left="0" w:leftChars="0" w:firstLine="840" w:firstLineChars="300"/>
        <w:jc w:val="both"/>
        <w:textAlignment w:val="auto"/>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br w:type="page"/>
      </w:r>
    </w:p>
    <w:p w14:paraId="45C2F38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05包技术参数要求</w:t>
      </w:r>
    </w:p>
    <w:p w14:paraId="75DF2BC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透析机（单泵）</w:t>
      </w:r>
    </w:p>
    <w:p w14:paraId="56F504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1.技术特点</w:t>
      </w:r>
    </w:p>
    <w:p w14:paraId="6472E684">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采用≥15英寸多角度旋转彩色液晶触摸屏，中英文等多种语言界面</w:t>
      </w:r>
    </w:p>
    <w:p w14:paraId="09E1BA5D">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具有引导式操作界面</w:t>
      </w:r>
    </w:p>
    <w:p w14:paraId="761DD882">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可预设每日自动开关机时间及消毒模式，且记录所有消毒情况</w:t>
      </w:r>
    </w:p>
    <w:p w14:paraId="769CB222">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1.4</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具有静脉壶液面自动调节</w:t>
      </w:r>
    </w:p>
    <w:p w14:paraId="7B81FB5F">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1.5</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满足临床透析监测要求：有血压、Kt/V、URR实时监测功能，如有血温、血容量监测。</w:t>
      </w:r>
    </w:p>
    <w:p w14:paraId="2F908553">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1.6</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具有透析器自动充液、排液功能</w:t>
      </w:r>
    </w:p>
    <w:p w14:paraId="1E994760">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1.7</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治疗参数、患者信息、运行状态可自动记录，并可实时读取历史信息</w:t>
      </w:r>
    </w:p>
    <w:p w14:paraId="29AFE7F8">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1.8</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血路系统、水路系统和监控系统独立控制，分别有安全监控传感器和保护措施，保证病人安全</w:t>
      </w:r>
    </w:p>
    <w:p w14:paraId="155A5B86">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1.9</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平衡系统、配液系统、超滤系统、空气监测器、漏血监测器、超净滤器等十余项强制自检项目，保证运行安全可靠</w:t>
      </w:r>
    </w:p>
    <w:p w14:paraId="409172D3">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1.10 液路系统的实时泄露监测，保证脱水安全</w:t>
      </w:r>
    </w:p>
    <w:p w14:paraId="61B0CF7A">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 xml:space="preserve"> 静脉管路具有超声波和光学双重监测，保证血液回输安全</w:t>
      </w:r>
    </w:p>
    <w:p w14:paraId="31AC1DFD">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醒目的红、黄、绿三级警示灯，配合提示和报警，兼顾安全与人性化</w:t>
      </w:r>
    </w:p>
    <w:p w14:paraId="1694FD96">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内置后备电源，停电后可维持血液回路工作≥30分钟</w:t>
      </w:r>
    </w:p>
    <w:p w14:paraId="3A2798A3">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1.14</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动脉压、静脉压、跨膜压等动态跟踪监测，对异常报警更加迅速</w:t>
      </w:r>
    </w:p>
    <w:p w14:paraId="6B4AE956">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1.15</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具有容量平衡反馈控制系统</w:t>
      </w:r>
    </w:p>
    <w:p w14:paraId="34380D63">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1.16</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具有透析液配制反馈控制系统</w:t>
      </w:r>
    </w:p>
    <w:p w14:paraId="1C37F5E4">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1.17</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应具有漏血监测、空气监测功能。</w:t>
      </w:r>
    </w:p>
    <w:p w14:paraId="21E77E51">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1.18</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可使用≥2种规格注射器，自动检测注射器型号，完善的功能自检和报警系统，支持肝素曲线</w:t>
      </w:r>
    </w:p>
    <w:p w14:paraId="403E8423">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1.19</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具有超纯透析液供给功能</w:t>
      </w:r>
    </w:p>
    <w:p w14:paraId="17EB4F9C">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1.20 预设多种标准透析液配制比例，亦可自设比例，适应市面上各种品牌的透析粉或浓缩液</w:t>
      </w:r>
    </w:p>
    <w:p w14:paraId="3F7230EC">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具有多种钠离子、超滤速率、碳酸氢盐、自设曲线功能，可为患者提供个性化治疗</w:t>
      </w:r>
    </w:p>
    <w:p w14:paraId="0D268E4E">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方便的序贯透析（透析←→单纯超滤）、高低钠序贯透析</w:t>
      </w:r>
    </w:p>
    <w:p w14:paraId="27AEDC94">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具有碳酸盐透析功能，适应多种治疗</w:t>
      </w:r>
    </w:p>
    <w:p w14:paraId="66C2CF04">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1.24</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具有网络通讯接口</w:t>
      </w:r>
    </w:p>
    <w:p w14:paraId="066471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2.主要技术参数</w:t>
      </w:r>
    </w:p>
    <w:p w14:paraId="44280745">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工作环境及接口</w:t>
      </w:r>
    </w:p>
    <w:p w14:paraId="122861C0">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2.1.1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进水温度≤35℃</w:t>
      </w:r>
    </w:p>
    <w:p w14:paraId="78A81410">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2.1.2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进水水压≤8bar</w:t>
      </w:r>
    </w:p>
    <w:p w14:paraId="6BE8C7E5">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血液流量：最小值≤50mL/min且最大值≥600mL/min</w:t>
      </w:r>
    </w:p>
    <w:p w14:paraId="436FCB8C">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透析液控制</w:t>
      </w:r>
    </w:p>
    <w:p w14:paraId="3CF0825D">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2.3.1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透析液流量：最小值≤300mL/min且最大值≥800mL/min</w:t>
      </w:r>
    </w:p>
    <w:p w14:paraId="77FEA888">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2.3.2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透析液浓度（电导率）：最小值≤13mS/cm且最大值≥15mS/cm</w:t>
      </w:r>
    </w:p>
    <w:p w14:paraId="2D416959">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2.3.3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配备透析液过滤器组件</w:t>
      </w:r>
    </w:p>
    <w:p w14:paraId="2F4D273A">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2.4</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脱水速率：最小值≤100mL/h且最大值≥4000mL/h</w:t>
      </w:r>
    </w:p>
    <w:p w14:paraId="696DC829">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2.5</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肝素泵</w:t>
      </w:r>
    </w:p>
    <w:p w14:paraId="38D26BFB">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2.5.1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肝素泵流量≤10mL/h</w:t>
      </w:r>
    </w:p>
    <w:p w14:paraId="0F175A7A">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2.5.2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注射器尺寸≥2种规格</w:t>
      </w:r>
    </w:p>
    <w:p w14:paraId="317F12E4">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2.6</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监控系统</w:t>
      </w:r>
    </w:p>
    <w:p w14:paraId="76F69756">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2.6.1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静脉压测量范围：最小值≤-20mmHg且最大值≥+300mmHg</w:t>
      </w:r>
    </w:p>
    <w:p w14:paraId="20774E67">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2.6.2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动脉压测量范围：最小值≤-300mmHg且最大值≥+300mHg</w:t>
      </w:r>
    </w:p>
    <w:p w14:paraId="39F1F59D">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2.6.3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TMP跨膜压监测范围：最小值≤-100mmHg且最大值≥+350mmHg</w:t>
      </w:r>
    </w:p>
    <w:p w14:paraId="1E5BEA14">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2.7 至少要有以下几种消毒模式</w:t>
      </w:r>
    </w:p>
    <w:p w14:paraId="0A506A75">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2.7.1 热消毒：温度≥95℃</w:t>
      </w:r>
    </w:p>
    <w:p w14:paraId="7D24FFC3">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2.7.2 柠檬酸热消毒：温度≥80℃</w:t>
      </w:r>
    </w:p>
    <w:p w14:paraId="6AA5D598">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2.7.3 次氯酸钠消毒</w:t>
      </w:r>
    </w:p>
    <w:p w14:paraId="0F494E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★3.配置清单</w:t>
      </w:r>
    </w:p>
    <w:p w14:paraId="3DF65C7F">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3.1  主机 1台</w:t>
      </w:r>
    </w:p>
    <w:p w14:paraId="413732C4">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3.2  透析器夹 1套</w:t>
      </w:r>
    </w:p>
    <w:p w14:paraId="6420FBA2">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3.3  侧杆一组件 1套</w:t>
      </w:r>
    </w:p>
    <w:p w14:paraId="76B83801">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3.4  进水管 1件</w:t>
      </w:r>
    </w:p>
    <w:p w14:paraId="20725890">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3.5  出水管 1件</w:t>
      </w:r>
    </w:p>
    <w:p w14:paraId="0741C8E0">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3.6  消毒液吸管组件 1件</w:t>
      </w:r>
    </w:p>
    <w:p w14:paraId="79D4B05A">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3.7  消毒液桶支架 1件</w:t>
      </w:r>
    </w:p>
    <w:p w14:paraId="0CAE8179">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3.8  喉箍 3件</w:t>
      </w:r>
    </w:p>
    <w:p w14:paraId="42529B3F">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3.9  空气过滤器 1个</w:t>
      </w:r>
    </w:p>
    <w:p w14:paraId="68B71A2B">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3.10  单向阀 1个</w:t>
      </w:r>
    </w:p>
    <w:p w14:paraId="1CFF13A4">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3.11  吸管滤网 4个</w:t>
      </w:r>
    </w:p>
    <w:p w14:paraId="1CAA6859">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3.12  O形密封圈 2个</w:t>
      </w:r>
    </w:p>
    <w:p w14:paraId="59CEA160">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3.13  O形密封圈 2个</w:t>
      </w:r>
    </w:p>
    <w:p w14:paraId="4FCFDF5E">
      <w:pPr>
        <w:keepNext w:val="0"/>
        <w:keepLines w:val="0"/>
        <w:pageBreakBefore w:val="0"/>
        <w:widowControl w:val="0"/>
        <w:kinsoku/>
        <w:wordWrap/>
        <w:overflowPunct/>
        <w:topLinePunct w:val="0"/>
        <w:autoSpaceDE/>
        <w:autoSpaceDN/>
        <w:bidi w:val="0"/>
        <w:adjustRightInd/>
        <w:snapToGrid/>
        <w:spacing w:line="360" w:lineRule="auto"/>
        <w:ind w:firstLine="840" w:firstLineChars="300"/>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br w:type="page"/>
      </w:r>
    </w:p>
    <w:p w14:paraId="4A75DE0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06包技术参数要求</w:t>
      </w:r>
    </w:p>
    <w:p w14:paraId="0F06D31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连续性血液净化装置（CRRT)</w:t>
      </w:r>
    </w:p>
    <w:p w14:paraId="7F579F3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1.技术参数及要求</w:t>
      </w:r>
    </w:p>
    <w:p w14:paraId="162324AC">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血液净化治疗模式</w:t>
      </w:r>
    </w:p>
    <w:p w14:paraId="6F003787">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CVVH-连续性静—静脉血液滤过</w:t>
      </w:r>
    </w:p>
    <w:p w14:paraId="588D21DE">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Pre-CVVH-连续性静—静脉血液滤过前稀释</w:t>
      </w:r>
    </w:p>
    <w:p w14:paraId="76D6AFF3">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Post-CVVH-连续性静—静脉血液滤过后稀释</w:t>
      </w:r>
    </w:p>
    <w:p w14:paraId="37351538">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1.1.4</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Pre-post CVVH-连续性静—静脉血液滤过前后同时稀释</w:t>
      </w:r>
    </w:p>
    <w:p w14:paraId="02297382">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1.1.5</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CVVHD-连续性静—静脉血液透析</w:t>
      </w:r>
    </w:p>
    <w:p w14:paraId="00676BCC">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1.1.6</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CVVHDF-连续性静—静脉血液透析滤过</w:t>
      </w:r>
    </w:p>
    <w:p w14:paraId="7D7764BA">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1.1.7</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Pre-CVVHDF-连续性静—静脉血液透析滤过前稀释</w:t>
      </w:r>
    </w:p>
    <w:p w14:paraId="3ADB2D0A">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1.1.8</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Post-CVVHDF-连续性静—静脉血液透析滤过后稀释</w:t>
      </w:r>
    </w:p>
    <w:p w14:paraId="7185BF64">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1.1.9</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SCUF-缓慢连续性超滤</w:t>
      </w:r>
    </w:p>
    <w:p w14:paraId="006CA455">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1.1.10</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TPE-血浆置换</w:t>
      </w:r>
    </w:p>
    <w:p w14:paraId="627FC327">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1.1.11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具备流量三通夹，CVVH、CVVHD、CVVHDF模式可在任意模式下一键切换，无需手动调整管路连接</w:t>
      </w:r>
    </w:p>
    <w:p w14:paraId="2F9C40EA">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动力泵装置：配置≥5个泵，血泵、置换液泵、透析液泵、废液泵、内置肝素泵/钙泵</w:t>
      </w:r>
    </w:p>
    <w:p w14:paraId="6D19E032">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治疗参数</w:t>
      </w:r>
    </w:p>
    <w:p w14:paraId="12FB7B47">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1.3.1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血液泵流量范围：最小值≤30ml/min且最大值≥400ml/min</w:t>
      </w:r>
    </w:p>
    <w:p w14:paraId="5DE35D93">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1.3.2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置换液泵流量范围：最小值≤1ml/min且最大值≥120ml/min</w:t>
      </w:r>
    </w:p>
    <w:p w14:paraId="7001DB5C">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1.3.3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透析液泵流量范围：最小值≤1ml/min且最大值≥120ml/min</w:t>
      </w:r>
    </w:p>
    <w:p w14:paraId="1E1EB226">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1.3.4</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TPE模式下血浆泵流量范围：最小值≤0ml/min且最大值≥50ml/min</w:t>
      </w:r>
    </w:p>
    <w:p w14:paraId="3A808ACD">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1.3.5</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废液泵流量范围：最小值≤1ml/min且最大值≥180ml/min</w:t>
      </w:r>
    </w:p>
    <w:p w14:paraId="2A2B6CA0">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1.3.6</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CRRT模式下净脱水流量范围：最小值≤0ml/h且最大值≥2000ml/h</w:t>
      </w:r>
    </w:p>
    <w:p w14:paraId="145AECE1">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1.3.7</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TPE模式下净脱水流量范围：最小值≤0ml/h且最大值≥1000ml/h</w:t>
      </w:r>
    </w:p>
    <w:p w14:paraId="3205ED56">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1.3.8</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TPE治疗有两种不同的血浆设置模式</w:t>
      </w:r>
    </w:p>
    <w:p w14:paraId="22CCAEE3">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1.3.9</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流量模式：用户可以设置血浆置换液流量，不受血流量限制</w:t>
      </w:r>
    </w:p>
    <w:p w14:paraId="33BF14BA">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1.3.10</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比率模式：用户可设置血浆过滤比；血浆置换液流量根据血浆过滤比、血流量计算</w:t>
      </w:r>
    </w:p>
    <w:p w14:paraId="4D8C16EE">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1.4</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抗凝系统</w:t>
      </w:r>
    </w:p>
    <w:p w14:paraId="62A56CE7">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1.4.1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具备一体化肝素泵抗凝组件</w:t>
      </w:r>
    </w:p>
    <w:p w14:paraId="1AF236CF">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1.4.2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肝素注射泵流量范围：最小值≤0.5ml/h且最大值≥10ml/h</w:t>
      </w:r>
    </w:p>
    <w:p w14:paraId="788C275A">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1.4.3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肝素输注压力监测范围：最小值≤0mmHg且最大值≥300mmHg</w:t>
      </w:r>
    </w:p>
    <w:p w14:paraId="313C749C">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1.4.4</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具有≥3种规格注射器，可用于肝素、氯化钙等推注</w:t>
      </w:r>
    </w:p>
    <w:p w14:paraId="50D3FCD5">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1.5</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加热系统</w:t>
      </w:r>
    </w:p>
    <w:p w14:paraId="49004332">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1.5.1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一体化平板加热系统，加热置换液、透析液</w:t>
      </w:r>
    </w:p>
    <w:p w14:paraId="6C3E3A86">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1.5.2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加温范围：最小值≥30℃～40℃</w:t>
      </w:r>
    </w:p>
    <w:p w14:paraId="33331CD6">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1.6</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压力监测系统</w:t>
      </w:r>
    </w:p>
    <w:p w14:paraId="22197452">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1.6.1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≥5个压力监测：动脉压、静脉压、滤器前压、滤出液压、补液压、跨膜压</w:t>
      </w:r>
    </w:p>
    <w:p w14:paraId="45EB1DF0">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1.6.2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动脉压监测显示范围（AP）：最小值≤-250mmHg且最大值≥+20mmHg</w:t>
      </w:r>
    </w:p>
    <w:p w14:paraId="7F847E09">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1.6.3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静脉压监测显示范围(VP)：最小值≤-50mmHg且最大值≥+350mmHg</w:t>
      </w:r>
    </w:p>
    <w:p w14:paraId="1A0720BE">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1.6.4</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滤器前压监测显示范围(FP)：最小值≤-50mmHg且最大值≥+450mmHg</w:t>
      </w:r>
    </w:p>
    <w:p w14:paraId="53309E1C">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1.6.5</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废液压监测显示范围（EP）：最小值≤-350mmHg且最大值≥400mmHg</w:t>
      </w:r>
    </w:p>
    <w:p w14:paraId="50BC3FF7">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1.7</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液体平衡管理</w:t>
      </w:r>
    </w:p>
    <w:p w14:paraId="065BE24D">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1.7.1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具备≥3杆称；称重系统包括：置换液称重单元、透析液重单元、废液重单元</w:t>
      </w:r>
    </w:p>
    <w:p w14:paraId="08740762">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1.7.2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单秤最大负荷≥10kg</w:t>
      </w:r>
    </w:p>
    <w:p w14:paraId="6001F62E">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1.8</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安全性</w:t>
      </w:r>
    </w:p>
    <w:p w14:paraId="0E93099A">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1.8.1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空气检测器（静脉）：超声波检测</w:t>
      </w:r>
    </w:p>
    <w:p w14:paraId="3C3B0CCC">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1.8.2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漏血检测器：光学检测，双通道评估</w:t>
      </w:r>
    </w:p>
    <w:p w14:paraId="18C5A121">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1.8.3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超滤量/血流量比监测，防止过度超滤；8.8.自动判断、提示和报警滤器的血凝情况</w:t>
      </w:r>
    </w:p>
    <w:p w14:paraId="2385BE9D">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1.8.4</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静脉压报警范围自动跟踪设定</w:t>
      </w:r>
    </w:p>
    <w:p w14:paraId="46E9D57A">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1.8.5</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可设置、自动判断预告换袋时间</w:t>
      </w:r>
    </w:p>
    <w:p w14:paraId="342A9B8D">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1.8.6</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紧急停止键，当触摸屏不工作时，按下停止键，立即停止治疗</w:t>
      </w:r>
    </w:p>
    <w:p w14:paraId="67E3597D">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1.8.7</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晃袋功能监测，如机器检测到袋子称重任何其它意外波动，将自动停止液体泵并中止治疗，如1分钟内袋子仍未稳定，则机器发出报警</w:t>
      </w:r>
    </w:p>
    <w:p w14:paraId="478A9006">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1.8.8</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重量、液体误差监测及安全强制措施</w:t>
      </w:r>
    </w:p>
    <w:p w14:paraId="2ED1EA32">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1.8.9</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置换液称、透析液称、废液称，称重误差范围±50g，超过±50g触发称重报警</w:t>
      </w:r>
    </w:p>
    <w:p w14:paraId="7CBA90B2">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1.9</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操作系统</w:t>
      </w:r>
    </w:p>
    <w:p w14:paraId="79333F72">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1.9.1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≥12寸彩色触摸屏幕；中文操作系统</w:t>
      </w:r>
    </w:p>
    <w:p w14:paraId="7D0D2E38">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1.9.2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备智能液体管理系统：精确液体管理、精准治疗剂量、精简停机时间，实时更新显示：实际剂量、目标剂量、选择剂量（实际），自动补液和智能液体调节功能，使治疗剂量轻易达成靶剂量98%，提高CRRT治疗质量</w:t>
      </w:r>
    </w:p>
    <w:p w14:paraId="7349F6AF">
      <w:pPr>
        <w:keepNext w:val="0"/>
        <w:keepLines w:val="0"/>
        <w:pageBreakBefore w:val="0"/>
        <w:widowControl w:val="0"/>
        <w:kinsoku/>
        <w:wordWrap/>
        <w:overflowPunct/>
        <w:topLinePunct w:val="0"/>
        <w:autoSpaceDE/>
        <w:autoSpaceDN/>
        <w:bidi w:val="0"/>
        <w:adjustRightInd/>
        <w:snapToGrid/>
        <w:spacing w:line="360" w:lineRule="auto"/>
        <w:ind w:firstLine="840" w:firstLineChars="35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1.9.3</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版面提示操作步骤、管路安装指南；具备异常情况的在线帮助功能</w:t>
      </w:r>
    </w:p>
    <w:p w14:paraId="6ADB7217">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▲1.10</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具备患者数据管理界面，具备数据输出端口；历史治疗记录，可查看最近10次治疗数据记录</w:t>
      </w:r>
    </w:p>
    <w:p w14:paraId="3845964C">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1.11</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设备在开机后执行自检；在治疗期间每个24小时执行一次自检</w:t>
      </w:r>
    </w:p>
    <w:p w14:paraId="1BA2C474">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1.12</w:t>
      </w:r>
      <w:r>
        <w:rPr>
          <w:rFonts w:hint="eastAsia" w:ascii="宋体" w:hAnsi="宋体" w:eastAsia="宋体" w:cs="宋体"/>
          <w:b w:val="0"/>
          <w:bCs w:val="0"/>
          <w:color w:val="auto"/>
          <w:sz w:val="24"/>
          <w:szCs w:val="24"/>
          <w:u w:val="none"/>
          <w:lang w:val="en-US" w:eastAsia="zh-CN"/>
        </w:rPr>
        <w:tab/>
      </w:r>
      <w:r>
        <w:rPr>
          <w:rFonts w:hint="eastAsia" w:ascii="宋体" w:hAnsi="宋体" w:eastAsia="宋体" w:cs="宋体"/>
          <w:b w:val="0"/>
          <w:bCs w:val="0"/>
          <w:color w:val="auto"/>
          <w:sz w:val="24"/>
          <w:szCs w:val="24"/>
          <w:u w:val="none"/>
          <w:lang w:val="en-US" w:eastAsia="zh-CN"/>
        </w:rPr>
        <w:t>设备预期使用年限≥8年</w:t>
      </w:r>
    </w:p>
    <w:p w14:paraId="7CD2FA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★2.配置清单</w:t>
      </w:r>
    </w:p>
    <w:p w14:paraId="7F006F89">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2.1  血液净化设备 1台</w:t>
      </w:r>
    </w:p>
    <w:p w14:paraId="11CD1A73">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2.2  彩色触摸屏 1台</w:t>
      </w:r>
    </w:p>
    <w:p w14:paraId="3140C04F">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2.3  加热系统 1套</w:t>
      </w:r>
    </w:p>
    <w:p w14:paraId="01A3E0A8">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2.4  漏血探测器 1个</w:t>
      </w:r>
    </w:p>
    <w:p w14:paraId="7E198B34">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2.5  静脉空气监测器 1个</w:t>
      </w:r>
    </w:p>
    <w:p w14:paraId="631B8FCE">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2.6  钙泵空气监测器 1个</w:t>
      </w:r>
    </w:p>
    <w:p w14:paraId="0F201C94">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2.7  输液支架 1个</w:t>
      </w:r>
    </w:p>
    <w:p w14:paraId="580C56B6">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2.8  称重单元 4个</w:t>
      </w:r>
    </w:p>
    <w:p w14:paraId="3818DC45">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2.9  血泵/废液泵/置换液泵/透析液泵 各1台</w:t>
      </w:r>
    </w:p>
    <w:p w14:paraId="7679B0CD">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2.10  输注泵（肝素泵/钙泵） 1台</w:t>
      </w:r>
    </w:p>
    <w:p w14:paraId="297ADA16">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2.11  超声空气传感器 3台</w:t>
      </w:r>
    </w:p>
    <w:p w14:paraId="3DC54916">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2.12  接口电缆 1条</w:t>
      </w:r>
    </w:p>
    <w:p w14:paraId="14965354">
      <w:pPr>
        <w:jc w:val="both"/>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br w:type="page"/>
      </w:r>
    </w:p>
    <w:p w14:paraId="6F7EAC25">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★二、商务要求（注：①以下服务条款产生的所有费用应包含在本次报价中②以下内容中涉及的甲方为海南省卫生健康委员会，乙方为供应商，丙方为市县卫健委）</w:t>
      </w:r>
    </w:p>
    <w:p w14:paraId="4C677240">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auto"/>
          <w:sz w:val="24"/>
          <w:szCs w:val="24"/>
          <w:u w:val="none"/>
          <w:lang w:val="en-US" w:eastAsia="zh-CN"/>
        </w:rPr>
      </w:pPr>
    </w:p>
    <w:p w14:paraId="3A1E396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1.交货方式</w:t>
      </w:r>
    </w:p>
    <w:p w14:paraId="3C58777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1.1. 交货时间：</w:t>
      </w:r>
    </w:p>
    <w:p w14:paraId="2F44032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采购包1：合同签订后国产设备30日内。</w:t>
      </w:r>
    </w:p>
    <w:p w14:paraId="63E206E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采购包2：合同签订后国产设备30日内。</w:t>
      </w:r>
    </w:p>
    <w:p w14:paraId="51F0DF5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采购包3：合同签订后国产设备30日内，进口设备60日内交付合同标的物设备。</w:t>
      </w:r>
    </w:p>
    <w:p w14:paraId="6DA6CD1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采购包4：合同签订后国产设备30日内。</w:t>
      </w:r>
    </w:p>
    <w:p w14:paraId="09DD04B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采购包5：合同签订后国产设备30日内。</w:t>
      </w:r>
    </w:p>
    <w:p w14:paraId="62CA8C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采购包6：合同签订后国产设备30日内，进口设备60日内交付合同标的物设备。</w:t>
      </w:r>
    </w:p>
    <w:p w14:paraId="472F2F7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1.2. 交货地点：丙方指定地点。</w:t>
      </w:r>
    </w:p>
    <w:p w14:paraId="36AF475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1.3. 交货流程：在货物到丙方指定地点后，乙方应在7天内派工程技术人员到达现场，在丙方的技术人员在场的情况下开箱清点货物，组织安装调试，并承担因此发生的一切费用。</w:t>
      </w:r>
    </w:p>
    <w:p w14:paraId="4794240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val="0"/>
          <w:color w:val="auto"/>
          <w:sz w:val="24"/>
          <w:szCs w:val="24"/>
          <w:u w:val="none"/>
          <w:lang w:val="en-US" w:eastAsia="zh-CN"/>
        </w:rPr>
      </w:pPr>
    </w:p>
    <w:p w14:paraId="5D8D3138">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val="0"/>
          <w:color w:val="auto"/>
          <w:sz w:val="24"/>
          <w:szCs w:val="24"/>
          <w:u w:val="none"/>
          <w:lang w:val="en-US" w:eastAsia="zh-CN"/>
        </w:rPr>
      </w:pPr>
      <w:r>
        <w:rPr>
          <w:rFonts w:hint="eastAsia" w:ascii="宋体" w:hAnsi="宋体" w:eastAsia="宋体" w:cs="宋体"/>
          <w:bCs w:val="0"/>
          <w:color w:val="auto"/>
          <w:sz w:val="24"/>
          <w:szCs w:val="24"/>
          <w:u w:val="none"/>
          <w:lang w:val="en-US" w:eastAsia="zh-CN"/>
        </w:rPr>
        <w:t>2.各标包售后服务要求（本项投标人仅需针对所投标包要求进行响应即可）</w:t>
      </w:r>
    </w:p>
    <w:p w14:paraId="254C5B18">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01包：</w:t>
      </w:r>
    </w:p>
    <w:p w14:paraId="2D6E8C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（1）保修期起始日期从设备验收合格移交使用单位之日起算，保修期为：主机≥60个月，相关配件≥60个月，由乙方负责免费维护维修。</w:t>
      </w:r>
    </w:p>
    <w:p w14:paraId="014DAE7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在保修期内，乙方技术人员应至少每3个月上门对设备进行维护保养；接到各使用单位设备故障报修后乙方技术人员应在2小时内响应并解决问题，未解决则48小时内到达现场，如未到达现场，每逾期一日，向甲方、丙方支付合同总金额的1‰违约金，直至设备修复正常使用。期间甲方、丙方有权自行将设备委托给第三方进行维修，由此产生的费用由乙方承担，且乙方不得以此为理由终止维保方案。免费保修期内如有故障停机，每停机1天，免费保修期将顺延5天</w:t>
      </w:r>
      <w:r>
        <w:rPr>
          <w:rFonts w:hint="eastAsia" w:ascii="宋体" w:hAnsi="宋体" w:eastAsia="宋体" w:cs="宋体"/>
          <w:color w:val="auto"/>
          <w:kern w:val="2"/>
          <w:sz w:val="24"/>
          <w:szCs w:val="24"/>
          <w:lang w:val="en-US" w:eastAsia="zh-CN" w:bidi="ar-SA"/>
        </w:rPr>
        <w:t>。</w:t>
      </w:r>
    </w:p>
    <w:p w14:paraId="6B47352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（3）保修期内的开机率，保证开机率≥95%（按工作日计算）。因设备原因导致开机率＜95%时，每超过1天，免费保修期延长5天。</w:t>
      </w:r>
    </w:p>
    <w:p w14:paraId="153FF53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p w14:paraId="2B4DE6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（5）如配备软件系统，乙方应终身提供软件免费升级，升级必须适配原厂软件，且不得影响设备的质保。</w:t>
      </w:r>
    </w:p>
    <w:p w14:paraId="01BEFC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p w14:paraId="442D2C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（7）具有专用的网址或公众号等，免费在线提供临床应用培训及产品操作指导等。</w:t>
      </w:r>
    </w:p>
    <w:p w14:paraId="105FFC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（8）负责设备（含软件及相关服务）与使用医院网络端口链接的相关安装及费用。</w:t>
      </w:r>
    </w:p>
    <w:p w14:paraId="0270AA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（9）提供备件送达期限：＜4天。设备停产后的备件供应：保证十年。</w:t>
      </w:r>
    </w:p>
    <w:p w14:paraId="4274170D">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02包：</w:t>
      </w:r>
    </w:p>
    <w:p w14:paraId="69B948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（1）保修期起始日期从设备验收合格移交使用单位之日起算，保修期为：主机≥36个月，相关配件≥36个月，由乙方负责免费维护维修。</w:t>
      </w:r>
    </w:p>
    <w:p w14:paraId="1DF965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在保修期内，乙方技术人员应至少每3个月上门对设备进行维护保养；接到各使用单位设备故障报修后乙方技术人员应在2小时内响应并解决问题，未解决则48小时内到达现场，如未到达现场，每逾期一日，向甲方、丙方支付合同总金额的1‰违约金，直至设备修复正常使用。期间甲方、丙方有权自行将设备委托给第三方进行维修，由此产生的费用由乙方承担，且乙方不得以此为理由终止维保方案。免费保修期内如有故障停机，每停机1天，免费保修期将顺延5天。</w:t>
      </w:r>
    </w:p>
    <w:p w14:paraId="67AE0C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（3）保修期内的开机率，保证开机率≥95%（按工作日计算）。因设备原因导致开机率＜95%时，每超过1天，免费保修期延长5天。</w:t>
      </w:r>
    </w:p>
    <w:p w14:paraId="75E46D1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p w14:paraId="407E0D6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（5）如配备软件系统，乙方应终身提供软件免费升级，升级必须适配原厂软件，且不得影响设备的质保。</w:t>
      </w:r>
    </w:p>
    <w:p w14:paraId="525D70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p w14:paraId="4001F0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（7）具有专用的网址或公众号等，免费在线提供临床应用培训及产品操作指导等。</w:t>
      </w:r>
    </w:p>
    <w:p w14:paraId="23B3E1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（8）负责设备（含软件及相关服务）与使用医院网络端口链接的相关安装及费用。</w:t>
      </w:r>
    </w:p>
    <w:p w14:paraId="4FD602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（9）提供备件送达期限：＜4天。设备停产后的备件供应：保证十年。</w:t>
      </w:r>
    </w:p>
    <w:p w14:paraId="1F034D45">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03包：</w:t>
      </w:r>
    </w:p>
    <w:p w14:paraId="66B9968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（1）保修期起始日期从设备验收合格移交使用单位之日起算，保修期为：主机≥36个月，相关配件≥36个月，由乙方负责免费维护维修。</w:t>
      </w:r>
    </w:p>
    <w:p w14:paraId="54DE47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在保修期内，乙方技术人员应至少每3个月上门对设备进行维护保养；接到各使用单位设备故障报修后乙方技术人员应在2小时内响应并解决问题，未解决则48小时内到达现场，如未到达现场，每逾期一日，向甲方、丙方支付合同总金额的1‰违约金，直至设备修复正常使用。期间甲方、丙方有权自行将设备委托给第三方进行维修，由此产生的费用由乙方承担，且乙方不得以此为理由终止维保方案。免费保修期内如有故障停机，每停机1天，免费保修期将顺延5天。乙方应承诺中标后在海南配有本地驻点工程师。</w:t>
      </w:r>
    </w:p>
    <w:p w14:paraId="27693B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（3）保修期内的开机率，保证开机率≥95%（按工作日计算）。因设备原因导致开机率＜95%时，每超过1天，免费保修期延长5天。</w:t>
      </w:r>
    </w:p>
    <w:p w14:paraId="01443C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p w14:paraId="2768CB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（5）如配备软件系统，乙方应终身提供软件免费升级，升级必须适配原厂软件，且不得影响设备的质保。</w:t>
      </w:r>
    </w:p>
    <w:p w14:paraId="77C623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p w14:paraId="0B5F19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（7）具有专用的网址或公众号等，免费在线提供临床应用培训及产品操作指导等。</w:t>
      </w:r>
    </w:p>
    <w:p w14:paraId="2E15446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（8）负责设备（含软件及相关服务）与使用医院网络端口链接的相关安装及费用。</w:t>
      </w:r>
    </w:p>
    <w:p w14:paraId="6287A8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（9）提供备件送达期限：＜4天。设备停产后的备件供应：保证十年。</w:t>
      </w:r>
    </w:p>
    <w:p w14:paraId="6ED3E1F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（10）维修时效为2小时响应、24小时内到现场维修，应配有海南本地驻点工程师。</w:t>
      </w:r>
    </w:p>
    <w:p w14:paraId="19A6A757">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04包：</w:t>
      </w:r>
    </w:p>
    <w:p w14:paraId="3BF018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（1）保修期起始日期从设备验收合格移交使用单位之日起算，保修期为：主机≥36个月，相关配件≥60个月，由乙方负责免费维护维修</w:t>
      </w:r>
    </w:p>
    <w:p w14:paraId="7500F0F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在保修期内，乙方技术人员应至少每3个月上门对设备进行维护保养；接到各使用单位设备故障报修后乙方技术人员应在2小时内响应并解决问题，未解决则48小时内到达现场，如未到达现场，每逾期一日，向甲方、丙方支付合同总金额的1‰违约金，直至设备修复正常使用。期间甲方、丙方有权自行将设备委托给第三方进行维修，由此产生的费用由乙方承担，且乙方不得以此为理由终止维保方案。免费保修期内如有故障停机，每停机1天，免费保修期将顺延5天。乙方应承诺中标后在配有海南本地驻点工程师。</w:t>
      </w:r>
    </w:p>
    <w:p w14:paraId="0D0893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（3）保修期内的开机率，保证开机率≥95%（按工作日计算）。因设备原因导致开机率＜95%时，每超过1天，免费保修期延长5天。</w:t>
      </w:r>
    </w:p>
    <w:p w14:paraId="3427FCC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p w14:paraId="6A2F99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（5）如配备软件系统，乙方应终身提供软件免费升级，升级必须适配原厂软件，且不得影响设备的质保。</w:t>
      </w:r>
    </w:p>
    <w:p w14:paraId="512C8D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p w14:paraId="01A9D4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（7）具有专用的网址或公众号等，免费在线提供临床应用培训及产品操作指导等。</w:t>
      </w:r>
    </w:p>
    <w:p w14:paraId="77B966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（8）负责设备（含软件及相关服务）与使用医院网络端口链接的相关安装及费用。</w:t>
      </w:r>
    </w:p>
    <w:p w14:paraId="34B041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（9）提供备件送达期限：＜4天。设备停产后的备件供应：保证十年。</w:t>
      </w:r>
    </w:p>
    <w:p w14:paraId="6A1EF2CD">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05包：</w:t>
      </w:r>
    </w:p>
    <w:p w14:paraId="15D868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（1）保修期起始日期从设备验收合格移交使用单位之日起算，保修期为：主机≥36个月，相关配件≥ 60 个月，由乙方负责免费维护维修。</w:t>
      </w:r>
    </w:p>
    <w:p w14:paraId="449705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在保修期内，乙方技术人员应至少每3个月上门对设备进行维护保养；接到各使用单位设备故障报修后乙方技术人员应在2小时内响应并解决问题，未解决则48小时内到达现场，如未到达现场，每逾期一日，向甲方、丙方支付合同总金额的1‰违约金，直至设备修复正常使用。期间甲方、丙方有权自行将设备委托给第三方进行维修，由此产生的费用由乙方承担，且乙方不得以此为理由终止维保方案。免费保修期内如有故障停机，每停机1天，免费保修期将顺延5天。乙方应承诺中标后在配有海南本地驻点工程师。</w:t>
      </w:r>
    </w:p>
    <w:p w14:paraId="659514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（3）保修期内的开机率，保证开机率≥95%（按工作日计算）。因设备原因导致开机率＜95%时，每超过1天，免费保修期延长5天。</w:t>
      </w:r>
    </w:p>
    <w:p w14:paraId="010AAC3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（4）在货物到达使用单位后，乙方应在7天内派工程技术人员到达现场，在使用单位技术人员在场的情况下开箱清点货物，组织安装调试，并承担因此发生的一切费用。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p w14:paraId="75650D9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（5）如配备软件系统，乙方应终身提供软件免费升级，升级必须适配原厂软件，且不得影响设备的质保。</w:t>
      </w:r>
    </w:p>
    <w:p w14:paraId="6EC44E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6）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p w14:paraId="41F7115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（7）具有专用的网址或公众号等，免费在线提供临床应用培训及产品操作指导等。</w:t>
      </w:r>
    </w:p>
    <w:p w14:paraId="041D8D6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（8）负责设备（含软件及相关服务）与使用医院网络端口链接的相关安装及费用。</w:t>
      </w:r>
    </w:p>
    <w:p w14:paraId="5362FB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（9）提供备件送达期限：＜4天。设备停产后的备件供应：保证十年。</w:t>
      </w:r>
    </w:p>
    <w:p w14:paraId="68A6AE88">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auto"/>
          <w:sz w:val="24"/>
          <w:szCs w:val="24"/>
          <w:u w:val="none"/>
          <w:lang w:val="en-US" w:eastAsia="zh-CN"/>
        </w:rPr>
      </w:pPr>
      <w:r>
        <w:rPr>
          <w:rFonts w:hint="eastAsia" w:ascii="宋体" w:hAnsi="宋体" w:eastAsia="宋体" w:cs="宋体"/>
          <w:b/>
          <w:bCs/>
          <w:color w:val="auto"/>
          <w:sz w:val="24"/>
          <w:szCs w:val="24"/>
          <w:u w:val="none"/>
          <w:lang w:val="en-US" w:eastAsia="zh-CN"/>
        </w:rPr>
        <w:t>06包：</w:t>
      </w:r>
    </w:p>
    <w:p w14:paraId="60D62F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（1）保修期起始日期从设备验收合格移交使用单位之日起算，保修期为：主机≥36个月，相关配件≥24个月，由乙方负责免费维护维修。</w:t>
      </w:r>
    </w:p>
    <w:p w14:paraId="51490C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2）在保修期内，乙方技术人员应至少每3个月上门对设备进行维护保养；接到各使用单位设备故障报修后乙方技术人员应在2小时内响应并解决问题，未解决则48小时内到达现场，如未到达现场，每逾期一日，向甲方、丙方支付合同总金额的1‰违约金，直至设备修复正常使用。期间甲方、丙方有权自行将设备委托给第三方进行维修，由此产生的费用由乙方承担，且乙方不得以此为理由终止维保方案。免费保修期内如有故障停机，每停机1天，免费保修期将顺延5天。</w:t>
      </w:r>
    </w:p>
    <w:p w14:paraId="6D3EF8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（3）保修期内的开机率，保证开机率≥95%（按工作日计算）。因设备原因导致开机率＜95%时，每超过1天，免费保修期延长5天。</w:t>
      </w:r>
    </w:p>
    <w:p w14:paraId="1A2F13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（4）在货物到达使用单位后，乙方应在7天内派工程技术人员到达现场，在使用单位技术人员在场的情况下开箱清点货物，组织安装调试，并承担因此发生的一切费用。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p w14:paraId="679965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（5）如配备软件系统，乙方应终身提供软件免费升级，升级必须适配原厂软件，且不得影响设备的质保。</w:t>
      </w:r>
    </w:p>
    <w:p w14:paraId="75090E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6）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p w14:paraId="53B8EA4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（7）具有专用的网址或公众号等，免费在线提供临床应用培训及产品操作指导等。</w:t>
      </w:r>
    </w:p>
    <w:p w14:paraId="180237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（8）负责设备（含软件及相关服务）与使用医院网络端口链接的相关安装及费用。</w:t>
      </w:r>
    </w:p>
    <w:p w14:paraId="141995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（9）提供备件送达期限：＜4天。设备停产后的备件供应：保证十年。</w:t>
      </w:r>
    </w:p>
    <w:p w14:paraId="5105AA7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Cs w:val="0"/>
          <w:color w:val="auto"/>
          <w:sz w:val="24"/>
          <w:szCs w:val="24"/>
          <w:highlight w:val="none"/>
          <w:u w:val="none"/>
          <w:lang w:val="en-US" w:eastAsia="zh-CN"/>
        </w:rPr>
      </w:pPr>
    </w:p>
    <w:p w14:paraId="1D3426E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Cs w:val="0"/>
          <w:color w:val="auto"/>
          <w:sz w:val="24"/>
          <w:szCs w:val="24"/>
          <w:highlight w:val="none"/>
          <w:u w:val="none"/>
          <w:lang w:val="en-US" w:eastAsia="zh-CN"/>
        </w:rPr>
      </w:pPr>
      <w:r>
        <w:rPr>
          <w:rFonts w:hint="eastAsia" w:ascii="宋体" w:hAnsi="宋体" w:eastAsia="宋体" w:cs="宋体"/>
          <w:bCs w:val="0"/>
          <w:color w:val="auto"/>
          <w:sz w:val="24"/>
          <w:szCs w:val="24"/>
          <w:highlight w:val="none"/>
          <w:u w:val="none"/>
          <w:lang w:val="en-US" w:eastAsia="zh-CN"/>
        </w:rPr>
        <w:t>3.付款方式</w:t>
      </w:r>
    </w:p>
    <w:p w14:paraId="50A57A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Cs w:val="0"/>
          <w:color w:val="auto"/>
          <w:sz w:val="24"/>
          <w:szCs w:val="24"/>
          <w:highlight w:val="none"/>
          <w:u w:val="none"/>
          <w:lang w:val="en-US" w:eastAsia="zh-CN"/>
        </w:rPr>
      </w:pPr>
      <w:r>
        <w:rPr>
          <w:rFonts w:hint="eastAsia" w:ascii="宋体" w:hAnsi="宋体" w:eastAsia="宋体" w:cs="宋体"/>
          <w:bCs w:val="0"/>
          <w:color w:val="auto"/>
          <w:sz w:val="24"/>
          <w:szCs w:val="24"/>
          <w:highlight w:val="none"/>
          <w:u w:val="none"/>
          <w:lang w:val="en-US" w:eastAsia="zh-CN"/>
        </w:rPr>
        <w:t>3.1. 合同签订后，设备到货且乙方提供有效的合同总价款的80%税务发票及丙方签字盖章的到货单等相关材料，甲方向乙方支付合同总价款的80%；设备通过验收合格后，乙方向丙方提交有效的合同总价款的20%税务发票、设备使用说明书、维修手册、合格证、保修单和安装验收报告等全部材料，且提交合同总价款5%的银行保函原件（期限为设备验收合格之日起一年），丙方向乙方支付合同总价款的20%。</w:t>
      </w:r>
    </w:p>
    <w:p w14:paraId="0E03DB7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Cs w:val="0"/>
          <w:color w:val="auto"/>
          <w:sz w:val="24"/>
          <w:szCs w:val="24"/>
          <w:highlight w:val="none"/>
          <w:u w:val="none"/>
          <w:lang w:val="en-US" w:eastAsia="zh-CN"/>
        </w:rPr>
      </w:pPr>
      <w:r>
        <w:rPr>
          <w:rFonts w:hint="eastAsia" w:ascii="宋体" w:hAnsi="宋体" w:eastAsia="宋体" w:cs="宋体"/>
          <w:bCs w:val="0"/>
          <w:color w:val="auto"/>
          <w:sz w:val="24"/>
          <w:szCs w:val="24"/>
          <w:highlight w:val="none"/>
          <w:u w:val="none"/>
          <w:lang w:val="en-US" w:eastAsia="zh-CN"/>
        </w:rPr>
        <w:t>3.2. 设备验收合格之日起一年后，经确认乙方所提供设备无任何产品质量、售后问题，丙方退还乙方合同总价款5%的银行保函原件。</w:t>
      </w:r>
    </w:p>
    <w:p w14:paraId="468EDB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Cs w:val="0"/>
          <w:color w:val="auto"/>
          <w:sz w:val="24"/>
          <w:szCs w:val="24"/>
          <w:highlight w:val="none"/>
          <w:u w:val="none"/>
          <w:lang w:val="en-US" w:eastAsia="zh-CN"/>
        </w:rPr>
      </w:pPr>
      <w:r>
        <w:rPr>
          <w:rFonts w:hint="eastAsia" w:ascii="宋体" w:hAnsi="宋体" w:eastAsia="宋体" w:cs="宋体"/>
          <w:bCs w:val="0"/>
          <w:color w:val="auto"/>
          <w:sz w:val="24"/>
          <w:szCs w:val="24"/>
          <w:highlight w:val="none"/>
          <w:u w:val="none"/>
          <w:lang w:val="en-US" w:eastAsia="zh-CN"/>
        </w:rPr>
        <w:t>3.3. 见票付款，乙方应于付款前，按照甲方或丙方要求，提供正规的税务发票，付款单位收到发票后支付相应款项。乙方未提供发票的，付款单位有权暂时不予支付款项，且无需承担相应的违约责任。</w:t>
      </w:r>
    </w:p>
    <w:p w14:paraId="792E8B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p>
    <w:p w14:paraId="2EC228B0">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宋体"/>
          <w:bCs w:val="0"/>
          <w:color w:val="auto"/>
          <w:sz w:val="24"/>
          <w:szCs w:val="24"/>
          <w:highlight w:val="none"/>
          <w:u w:val="none"/>
          <w:lang w:val="en-US" w:eastAsia="zh-CN"/>
        </w:rPr>
      </w:pPr>
      <w:r>
        <w:rPr>
          <w:rFonts w:hint="eastAsia" w:ascii="宋体" w:hAnsi="宋体" w:eastAsia="宋体" w:cs="宋体"/>
          <w:bCs w:val="0"/>
          <w:color w:val="auto"/>
          <w:sz w:val="24"/>
          <w:szCs w:val="24"/>
          <w:highlight w:val="none"/>
          <w:u w:val="none"/>
          <w:lang w:val="en-US" w:eastAsia="zh-CN"/>
        </w:rPr>
        <w:t>其他要求：</w:t>
      </w:r>
    </w:p>
    <w:p w14:paraId="129595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bCs w:val="0"/>
          <w:color w:val="auto"/>
          <w:sz w:val="24"/>
          <w:szCs w:val="24"/>
          <w:highlight w:val="none"/>
          <w:u w:val="none"/>
          <w:lang w:val="en-US" w:eastAsia="zh-CN"/>
        </w:rPr>
      </w:pPr>
      <w:r>
        <w:rPr>
          <w:rFonts w:hint="eastAsia" w:ascii="宋体" w:hAnsi="宋体" w:eastAsia="宋体" w:cs="宋体"/>
          <w:bCs w:val="0"/>
          <w:color w:val="auto"/>
          <w:sz w:val="24"/>
          <w:szCs w:val="24"/>
          <w:highlight w:val="none"/>
          <w:u w:val="none"/>
          <w:lang w:val="en-US" w:eastAsia="zh-CN"/>
        </w:rPr>
        <w:t>4.1.本项目投标人所投设备适配的耗材，要求需在海南省医保服务平台挂网采购；尚未在省医保服务平台挂网的，承诺中标后1个月内完成平台挂网，且价格不能高于省内三甲医院最低供货价，如若中标人未能在规定时间内未完成挂网信息的，采购人有权终止合同。(提供承诺函并加盖公章)。</w:t>
      </w:r>
    </w:p>
    <w:p w14:paraId="30E9FE5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bCs w:val="0"/>
          <w:color w:val="auto"/>
          <w:sz w:val="24"/>
          <w:szCs w:val="24"/>
          <w:highlight w:val="none"/>
          <w:u w:val="none"/>
          <w:lang w:val="en-US" w:eastAsia="zh-CN"/>
        </w:rPr>
      </w:pPr>
      <w:r>
        <w:rPr>
          <w:rFonts w:hint="eastAsia" w:ascii="宋体" w:hAnsi="宋体" w:eastAsia="宋体" w:cs="宋体"/>
          <w:bCs w:val="0"/>
          <w:color w:val="auto"/>
          <w:sz w:val="24"/>
          <w:szCs w:val="24"/>
          <w:highlight w:val="none"/>
          <w:u w:val="none"/>
          <w:lang w:val="en-US" w:eastAsia="zh-CN"/>
        </w:rPr>
        <w:t>4.2.投标人承诺所配套使用的试剂耗材必须符合《医疗器械监督管理条例》（中华人民共和国国务院令第739号）的相关规定，合同签订前提供所有试剂耗材注册证给采购人核验。（投标人提供承诺函加盖公章，格式自拟）</w:t>
      </w:r>
    </w:p>
    <w:p w14:paraId="52D57A1C">
      <w:pPr>
        <w:widowControl w:val="0"/>
        <w:ind w:firstLine="420" w:firstLineChars="200"/>
        <w:jc w:val="both"/>
        <w:rPr>
          <w:rFonts w:hint="eastAsia" w:ascii="宋体" w:hAnsi="宋体" w:eastAsia="宋体" w:cs="宋体"/>
          <w:color w:val="auto"/>
          <w:kern w:val="2"/>
          <w:sz w:val="21"/>
          <w:szCs w:val="24"/>
          <w:lang w:val="en-US" w:eastAsia="zh-CN" w:bidi="ar-SA"/>
        </w:rPr>
      </w:pPr>
    </w:p>
    <w:p w14:paraId="7C0B915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5.所投货物（第三章采购需求-二、设备清单、技术参数-（一）设备清单-设备清单表中的设备）属于二、三类医疗器械产品的须具有医疗器械注册证、医疗器械生产许可证（除进口设备外），属于第一类医疗器械的须具有医疗器械备案凭证、医疗器械生产备案凭证。（提供证书复印件，加盖公章）。</w:t>
      </w:r>
    </w:p>
    <w:p w14:paraId="7EE5631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4"/>
          <w:szCs w:val="24"/>
          <w:highlight w:val="none"/>
          <w:u w:val="none"/>
          <w:lang w:val="en-US" w:eastAsia="zh-CN"/>
        </w:rPr>
      </w:pPr>
    </w:p>
    <w:p w14:paraId="04E7C36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6.03包、06包：投标人非所投产品（若是进口产品）制造厂家需提供产品制造厂家对响应产品的授权，或具有授权权限的代理商对响应产品的授权（且需提供该代理商具有有效授权权限的相关证明文件，证明文件需能显示产品制造厂家对所投产品授权链条的完整性）。</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102C9">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A482072">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A482072">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78E1D1"/>
    <w:multiLevelType w:val="multilevel"/>
    <w:tmpl w:val="7978E1D1"/>
    <w:lvl w:ilvl="0" w:tentative="0">
      <w:start w:val="4"/>
      <w:numFmt w:val="decimal"/>
      <w:lvlText w:val="%1."/>
      <w:lvlJc w:val="left"/>
      <w:pPr>
        <w:tabs>
          <w:tab w:val="left" w:pos="312"/>
        </w:tabs>
      </w:pPr>
    </w:lvl>
    <w:lvl w:ilvl="1" w:tentative="0">
      <w:start w:val="1"/>
      <w:numFmt w:val="decimal"/>
      <w:lvlText w:val="%1.%2."/>
      <w:lvlJc w:val="left"/>
      <w:pPr>
        <w:tabs>
          <w:tab w:val="left" w:pos="312"/>
        </w:tabs>
        <w:ind w:left="0" w:leftChars="0" w:firstLine="0" w:firstLineChars="0"/>
      </w:pPr>
      <w:rPr>
        <w:rFonts w:hint="default"/>
      </w:rPr>
    </w:lvl>
    <w:lvl w:ilvl="2" w:tentative="0">
      <w:start w:val="1"/>
      <w:numFmt w:val="decimal"/>
      <w:lvlText w:val="%1.%2.%3."/>
      <w:lvlJc w:val="left"/>
      <w:pPr>
        <w:tabs>
          <w:tab w:val="left" w:pos="312"/>
        </w:tabs>
        <w:ind w:left="0" w:leftChars="0" w:firstLine="0" w:firstLineChars="0"/>
      </w:pPr>
      <w:rPr>
        <w:rFonts w:hint="default"/>
      </w:rPr>
    </w:lvl>
    <w:lvl w:ilvl="3" w:tentative="0">
      <w:start w:val="1"/>
      <w:numFmt w:val="decimal"/>
      <w:lvlText w:val="%1.%2.%3.%4."/>
      <w:lvlJc w:val="left"/>
      <w:pPr>
        <w:tabs>
          <w:tab w:val="left" w:pos="312"/>
        </w:tabs>
        <w:ind w:left="0" w:leftChars="0" w:firstLine="0" w:firstLineChars="0"/>
      </w:pPr>
      <w:rPr>
        <w:rFonts w:hint="default"/>
      </w:rPr>
    </w:lvl>
    <w:lvl w:ilvl="4" w:tentative="0">
      <w:start w:val="1"/>
      <w:numFmt w:val="decimal"/>
      <w:lvlText w:val="%1.%2.%3.%4.%5."/>
      <w:lvlJc w:val="left"/>
      <w:pPr>
        <w:tabs>
          <w:tab w:val="left" w:pos="312"/>
        </w:tabs>
        <w:ind w:left="0" w:leftChars="0" w:firstLine="0" w:firstLineChars="0"/>
      </w:pPr>
      <w:rPr>
        <w:rFonts w:hint="default"/>
      </w:rPr>
    </w:lvl>
    <w:lvl w:ilvl="5" w:tentative="0">
      <w:start w:val="1"/>
      <w:numFmt w:val="decimal"/>
      <w:lvlText w:val="%1.%2.%3.%4.%5.%6."/>
      <w:lvlJc w:val="left"/>
      <w:pPr>
        <w:tabs>
          <w:tab w:val="left" w:pos="312"/>
        </w:tabs>
        <w:ind w:left="0" w:leftChars="0" w:firstLine="0" w:firstLineChars="0"/>
      </w:pPr>
      <w:rPr>
        <w:rFonts w:hint="default"/>
      </w:rPr>
    </w:lvl>
    <w:lvl w:ilvl="6" w:tentative="0">
      <w:start w:val="1"/>
      <w:numFmt w:val="decimal"/>
      <w:lvlText w:val="%1.%2.%3.%4.%5.%6.%7."/>
      <w:lvlJc w:val="left"/>
      <w:pPr>
        <w:tabs>
          <w:tab w:val="left" w:pos="312"/>
        </w:tabs>
        <w:ind w:left="0" w:leftChars="0" w:firstLine="0" w:firstLineChars="0"/>
      </w:pPr>
      <w:rPr>
        <w:rFonts w:hint="default"/>
      </w:rPr>
    </w:lvl>
    <w:lvl w:ilvl="7" w:tentative="0">
      <w:start w:val="1"/>
      <w:numFmt w:val="decimal"/>
      <w:lvlText w:val="%1.%2.%3.%4.%5.%6.%7.%8."/>
      <w:lvlJc w:val="left"/>
      <w:pPr>
        <w:tabs>
          <w:tab w:val="left" w:pos="312"/>
        </w:tabs>
        <w:ind w:left="0" w:leftChars="0" w:firstLine="0" w:firstLineChars="0"/>
      </w:pPr>
      <w:rPr>
        <w:rFonts w:hint="default"/>
      </w:rPr>
    </w:lvl>
    <w:lvl w:ilvl="8" w:tentative="0">
      <w:start w:val="1"/>
      <w:numFmt w:val="decimal"/>
      <w:lvlText w:val="%1.%2.%3.%4.%5.%6.%7.%8.%9."/>
      <w:lvlJc w:val="left"/>
      <w:pPr>
        <w:tabs>
          <w:tab w:val="left" w:pos="312"/>
        </w:tabs>
        <w:ind w:left="0" w:leftChars="0" w:firstLine="0"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1927A9"/>
    <w:rsid w:val="1EB202A6"/>
    <w:rsid w:val="5C86208C"/>
    <w:rsid w:val="65904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center"/>
    </w:pPr>
    <w:rPr>
      <w:rFonts w:ascii="仿宋_GB2312" w:hAnsi="仿宋_GB2312" w:eastAsia="仿宋_GB2312" w:cs="仿宋_GB2312"/>
      <w:bCs/>
      <w:kern w:val="2"/>
      <w:sz w:val="36"/>
      <w:szCs w:val="24"/>
      <w:u w:val="none"/>
      <w:lang w:val="en-US" w:eastAsia="zh-CN" w:bidi="ar-SA"/>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2025-07-24T12:49:47Z</dcterms:created>
  <dc:creator>Administrator</dc:creator>
  <cp:lastModifiedBy>miss</cp:lastModifiedBy>
  <dcterms:modified xsi:type="dcterms:W3CDTF">2025-07-24T12:51:06Z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eyJoZGlkIjoiNTZkZDk5MmMzYTZhZGI3M2JmMDQ3MjliNmUxOWEzMmUiLCJ1c2VySWQiOiIzMDUyNzYyMTQifQ==</vt:lpwstr>
  </property>
  <property fmtid="{D5CDD505-2E9C-101B-9397-08002B2CF9AE}" pid="4" name="ICV">
    <vt:lpwstr>ADF27EA97B6845AEA938C66215F17CCD_12</vt:lpwstr>
  </property>
</Properties>
</file>